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5A" w:rsidRPr="003E275A" w:rsidRDefault="003E275A" w:rsidP="003E275A">
      <w:pPr>
        <w:spacing w:after="0" w:line="240" w:lineRule="auto"/>
        <w:jc w:val="center"/>
        <w:rPr>
          <w:rFonts w:ascii="Calibri" w:eastAsia="Times New Roman" w:hAnsi="Calibri" w:cs="Times New Roman"/>
          <w:b/>
        </w:rPr>
      </w:pPr>
      <w:r>
        <w:rPr>
          <w:rFonts w:ascii="Calibri" w:eastAsia="Times New Roman" w:hAnsi="Calibri" w:cs="Times New Roman"/>
          <w:b/>
        </w:rPr>
        <w:t xml:space="preserve">Curriculum </w:t>
      </w:r>
      <w:r w:rsidR="00447378">
        <w:rPr>
          <w:rFonts w:ascii="Calibri" w:eastAsia="Times New Roman" w:hAnsi="Calibri" w:cs="Times New Roman"/>
          <w:b/>
        </w:rPr>
        <w:t xml:space="preserve">and </w:t>
      </w:r>
      <w:r>
        <w:rPr>
          <w:rFonts w:ascii="Calibri" w:eastAsia="Times New Roman" w:hAnsi="Calibri" w:cs="Times New Roman"/>
          <w:b/>
        </w:rPr>
        <w:t>Polic</w:t>
      </w:r>
      <w:r w:rsidR="00447378">
        <w:rPr>
          <w:rFonts w:ascii="Calibri" w:eastAsia="Times New Roman" w:hAnsi="Calibri" w:cs="Times New Roman"/>
          <w:b/>
        </w:rPr>
        <w:t>ies Subcommittee</w:t>
      </w:r>
      <w:r w:rsidRPr="003E275A">
        <w:rPr>
          <w:rFonts w:ascii="Calibri" w:eastAsia="Times New Roman" w:hAnsi="Calibri" w:cs="Times New Roman"/>
          <w:b/>
        </w:rPr>
        <w:t xml:space="preserve"> Meeting Minutes</w:t>
      </w:r>
    </w:p>
    <w:p w:rsidR="003E275A" w:rsidRPr="003E275A" w:rsidRDefault="004D41D1" w:rsidP="003E275A">
      <w:pPr>
        <w:spacing w:after="0" w:line="240" w:lineRule="auto"/>
        <w:jc w:val="center"/>
        <w:rPr>
          <w:rFonts w:ascii="Calibri" w:eastAsia="Times New Roman" w:hAnsi="Calibri" w:cs="Times New Roman"/>
          <w:b/>
        </w:rPr>
      </w:pPr>
      <w:r>
        <w:rPr>
          <w:rFonts w:ascii="Calibri" w:eastAsia="Times New Roman" w:hAnsi="Calibri" w:cs="Times New Roman"/>
          <w:b/>
        </w:rPr>
        <w:t>August 27</w:t>
      </w:r>
      <w:r w:rsidR="00AF2C2A">
        <w:rPr>
          <w:rFonts w:ascii="Calibri" w:eastAsia="Times New Roman" w:hAnsi="Calibri" w:cs="Times New Roman"/>
          <w:b/>
        </w:rPr>
        <w:t>,</w:t>
      </w:r>
      <w:r>
        <w:rPr>
          <w:rFonts w:ascii="Calibri" w:eastAsia="Times New Roman" w:hAnsi="Calibri" w:cs="Times New Roman"/>
          <w:b/>
        </w:rPr>
        <w:t xml:space="preserve"> 2019</w:t>
      </w:r>
    </w:p>
    <w:p w:rsidR="003E275A" w:rsidRPr="003E275A" w:rsidRDefault="003E275A" w:rsidP="003E275A">
      <w:pPr>
        <w:spacing w:after="0" w:line="240" w:lineRule="auto"/>
        <w:jc w:val="center"/>
        <w:rPr>
          <w:rFonts w:ascii="Calibri" w:eastAsia="Times New Roman" w:hAnsi="Calibri" w:cs="Times New Roman"/>
          <w:b/>
        </w:rPr>
      </w:pPr>
    </w:p>
    <w:p w:rsidR="003E275A" w:rsidRPr="0045293F" w:rsidRDefault="003E275A" w:rsidP="003E275A">
      <w:pPr>
        <w:spacing w:after="0" w:line="240" w:lineRule="auto"/>
        <w:rPr>
          <w:rFonts w:ascii="Calibri" w:eastAsia="Times New Roman" w:hAnsi="Calibri" w:cs="Times New Roman"/>
        </w:rPr>
      </w:pPr>
      <w:r w:rsidRPr="003E275A">
        <w:rPr>
          <w:rFonts w:ascii="Calibri" w:eastAsia="Times New Roman" w:hAnsi="Calibri" w:cs="Times New Roman"/>
          <w:b/>
        </w:rPr>
        <w:t xml:space="preserve">Voting Members Present: </w:t>
      </w:r>
      <w:r w:rsidR="004D41D1" w:rsidRPr="004D41D1">
        <w:rPr>
          <w:rFonts w:ascii="Calibri" w:eastAsia="Times New Roman" w:hAnsi="Calibri" w:cs="Times New Roman"/>
        </w:rPr>
        <w:t xml:space="preserve">Leslie Dennis, </w:t>
      </w:r>
      <w:r w:rsidR="00AF2C2A" w:rsidRPr="004D41D1">
        <w:rPr>
          <w:rFonts w:ascii="Calibri" w:eastAsia="Times New Roman" w:hAnsi="Calibri" w:cs="Times New Roman"/>
        </w:rPr>
        <w:t>Moe Momayez</w:t>
      </w:r>
      <w:r w:rsidR="00AF2C2A">
        <w:rPr>
          <w:rFonts w:ascii="Calibri" w:eastAsia="Times New Roman" w:hAnsi="Calibri" w:cs="Times New Roman"/>
        </w:rPr>
        <w:t xml:space="preserve">, </w:t>
      </w:r>
      <w:r w:rsidR="004D41D1">
        <w:rPr>
          <w:rFonts w:ascii="Calibri" w:eastAsia="Times New Roman" w:hAnsi="Calibri" w:cs="Times New Roman"/>
        </w:rPr>
        <w:t xml:space="preserve">Holly Nelson, David Ortiz, Anthony Sanchez, Jennifer </w:t>
      </w:r>
      <w:proofErr w:type="spellStart"/>
      <w:r w:rsidR="004D41D1">
        <w:rPr>
          <w:rFonts w:ascii="Calibri" w:eastAsia="Times New Roman" w:hAnsi="Calibri" w:cs="Times New Roman"/>
        </w:rPr>
        <w:t>Schnellman</w:t>
      </w:r>
      <w:proofErr w:type="spellEnd"/>
      <w:r w:rsidR="004D41D1">
        <w:rPr>
          <w:rFonts w:ascii="Calibri" w:eastAsia="Times New Roman" w:hAnsi="Calibri" w:cs="Times New Roman"/>
        </w:rPr>
        <w:t xml:space="preserve">, </w:t>
      </w:r>
      <w:r w:rsidR="00AF2C2A">
        <w:rPr>
          <w:rFonts w:ascii="Calibri" w:eastAsia="Times New Roman" w:hAnsi="Calibri" w:cs="Times New Roman"/>
        </w:rPr>
        <w:t>Claudia Stanescu</w:t>
      </w:r>
      <w:r w:rsidR="00447378">
        <w:rPr>
          <w:rFonts w:ascii="Calibri" w:eastAsia="Times New Roman" w:hAnsi="Calibri" w:cs="Times New Roman"/>
        </w:rPr>
        <w:t xml:space="preserve"> (</w:t>
      </w:r>
      <w:r w:rsidR="00051D5B">
        <w:rPr>
          <w:rFonts w:ascii="Calibri" w:eastAsia="Times New Roman" w:hAnsi="Calibri" w:cs="Times New Roman"/>
        </w:rPr>
        <w:t xml:space="preserve">Temporary </w:t>
      </w:r>
      <w:r w:rsidR="00447378">
        <w:rPr>
          <w:rFonts w:ascii="Calibri" w:eastAsia="Times New Roman" w:hAnsi="Calibri" w:cs="Times New Roman"/>
        </w:rPr>
        <w:t>Chair)</w:t>
      </w:r>
      <w:r w:rsidR="00AF2C2A">
        <w:rPr>
          <w:rFonts w:ascii="Calibri" w:eastAsia="Times New Roman" w:hAnsi="Calibri" w:cs="Times New Roman"/>
        </w:rPr>
        <w:t xml:space="preserve">, </w:t>
      </w:r>
      <w:proofErr w:type="spellStart"/>
      <w:r w:rsidR="004D41D1">
        <w:rPr>
          <w:rFonts w:ascii="Calibri" w:eastAsia="Times New Roman" w:hAnsi="Calibri" w:cs="Times New Roman"/>
        </w:rPr>
        <w:t>Joost</w:t>
      </w:r>
      <w:proofErr w:type="spellEnd"/>
      <w:r w:rsidR="004D41D1">
        <w:rPr>
          <w:rFonts w:ascii="Calibri" w:eastAsia="Times New Roman" w:hAnsi="Calibri" w:cs="Times New Roman"/>
        </w:rPr>
        <w:t xml:space="preserve"> van </w:t>
      </w:r>
      <w:proofErr w:type="spellStart"/>
      <w:r w:rsidR="004D41D1">
        <w:rPr>
          <w:rFonts w:ascii="Calibri" w:eastAsia="Times New Roman" w:hAnsi="Calibri" w:cs="Times New Roman"/>
        </w:rPr>
        <w:t>Haren</w:t>
      </w:r>
      <w:proofErr w:type="spellEnd"/>
    </w:p>
    <w:p w:rsidR="0045293F" w:rsidRPr="003E275A" w:rsidRDefault="0045293F" w:rsidP="003E275A">
      <w:pPr>
        <w:spacing w:after="0" w:line="240" w:lineRule="auto"/>
        <w:rPr>
          <w:rFonts w:ascii="Calibri" w:eastAsia="Times New Roman" w:hAnsi="Calibri" w:cs="Times New Roman"/>
          <w:b/>
        </w:rPr>
      </w:pPr>
    </w:p>
    <w:p w:rsidR="003E275A" w:rsidRPr="003E275A" w:rsidRDefault="003E275A" w:rsidP="00286AD8">
      <w:pPr>
        <w:spacing w:after="0" w:line="240" w:lineRule="auto"/>
        <w:rPr>
          <w:rFonts w:ascii="Calibri" w:eastAsia="Times New Roman" w:hAnsi="Calibri" w:cs="Times New Roman"/>
        </w:rPr>
      </w:pPr>
      <w:r w:rsidRPr="003E275A">
        <w:rPr>
          <w:rFonts w:ascii="Calibri" w:eastAsia="Times New Roman" w:hAnsi="Calibri" w:cs="Times New Roman"/>
          <w:b/>
        </w:rPr>
        <w:t xml:space="preserve">Non-voting Members Present: </w:t>
      </w:r>
      <w:r w:rsidRPr="003E275A">
        <w:rPr>
          <w:rFonts w:ascii="Calibri" w:eastAsia="Times New Roman" w:hAnsi="Calibri" w:cs="Times New Roman"/>
        </w:rPr>
        <w:t xml:space="preserve"> </w:t>
      </w:r>
      <w:r w:rsidR="00447378">
        <w:rPr>
          <w:rFonts w:ascii="Calibri" w:eastAsia="Times New Roman" w:hAnsi="Calibri" w:cs="Times New Roman"/>
        </w:rPr>
        <w:t xml:space="preserve">Pam Coonan, Neel Ghosh, </w:t>
      </w:r>
      <w:r w:rsidR="007F53BC">
        <w:rPr>
          <w:rFonts w:ascii="Calibri" w:eastAsia="Times New Roman" w:hAnsi="Calibri" w:cs="Times New Roman"/>
        </w:rPr>
        <w:t>Abb</w:t>
      </w:r>
      <w:r w:rsidR="00447378">
        <w:rPr>
          <w:rFonts w:ascii="Calibri" w:eastAsia="Times New Roman" w:hAnsi="Calibri" w:cs="Times New Roman"/>
        </w:rPr>
        <w:t>ie Sorg</w:t>
      </w:r>
      <w:r w:rsidR="004D41D1">
        <w:rPr>
          <w:rFonts w:ascii="Calibri" w:eastAsia="Times New Roman" w:hAnsi="Calibri" w:cs="Times New Roman"/>
        </w:rPr>
        <w:t>, Alex Underwood</w:t>
      </w:r>
    </w:p>
    <w:p w:rsidR="003E275A" w:rsidRPr="003E275A" w:rsidRDefault="003E275A" w:rsidP="003E275A">
      <w:pPr>
        <w:spacing w:after="0" w:line="240" w:lineRule="auto"/>
        <w:rPr>
          <w:rFonts w:ascii="Calibri" w:eastAsia="Times New Roman" w:hAnsi="Calibri" w:cs="Times New Roman"/>
          <w:b/>
        </w:rPr>
      </w:pPr>
    </w:p>
    <w:p w:rsidR="003E275A" w:rsidRDefault="003E275A" w:rsidP="003E275A">
      <w:pPr>
        <w:spacing w:after="0" w:line="240" w:lineRule="auto"/>
        <w:rPr>
          <w:rFonts w:ascii="Calibri" w:eastAsia="Times New Roman" w:hAnsi="Calibri" w:cs="Times New Roman"/>
        </w:rPr>
      </w:pPr>
      <w:r w:rsidRPr="003E275A">
        <w:rPr>
          <w:rFonts w:ascii="Calibri" w:eastAsia="Times New Roman" w:hAnsi="Calibri" w:cs="Times New Roman"/>
          <w:b/>
        </w:rPr>
        <w:t xml:space="preserve">Voting Members Absent: </w:t>
      </w:r>
      <w:r w:rsidR="00051D5B">
        <w:rPr>
          <w:rFonts w:ascii="Calibri" w:eastAsia="Times New Roman" w:hAnsi="Calibri" w:cs="Times New Roman"/>
        </w:rPr>
        <w:t>Bennett Adamson</w:t>
      </w:r>
    </w:p>
    <w:p w:rsidR="00447378" w:rsidRDefault="00447378" w:rsidP="003E275A">
      <w:pPr>
        <w:spacing w:after="0" w:line="240" w:lineRule="auto"/>
        <w:rPr>
          <w:rFonts w:ascii="Calibri" w:eastAsia="Times New Roman" w:hAnsi="Calibri" w:cs="Times New Roman"/>
        </w:rPr>
      </w:pPr>
    </w:p>
    <w:p w:rsidR="00447378" w:rsidRDefault="00447378" w:rsidP="003E275A">
      <w:pPr>
        <w:spacing w:after="0" w:line="240" w:lineRule="auto"/>
        <w:rPr>
          <w:rFonts w:ascii="Calibri" w:eastAsia="Times New Roman" w:hAnsi="Calibri" w:cs="Times New Roman"/>
        </w:rPr>
      </w:pPr>
      <w:r w:rsidRPr="00447378">
        <w:rPr>
          <w:rFonts w:ascii="Calibri" w:eastAsia="Times New Roman" w:hAnsi="Calibri" w:cs="Times New Roman"/>
          <w:b/>
        </w:rPr>
        <w:t>Guest</w:t>
      </w:r>
      <w:r>
        <w:rPr>
          <w:rFonts w:ascii="Calibri" w:eastAsia="Times New Roman" w:hAnsi="Calibri" w:cs="Times New Roman"/>
          <w:b/>
        </w:rPr>
        <w:t xml:space="preserve"> Presenter</w:t>
      </w:r>
      <w:r w:rsidRPr="00447378">
        <w:rPr>
          <w:rFonts w:ascii="Calibri" w:eastAsia="Times New Roman" w:hAnsi="Calibri" w:cs="Times New Roman"/>
          <w:b/>
        </w:rPr>
        <w:t>s:</w:t>
      </w:r>
      <w:r>
        <w:rPr>
          <w:rFonts w:ascii="Calibri" w:eastAsia="Times New Roman" w:hAnsi="Calibri" w:cs="Times New Roman"/>
        </w:rPr>
        <w:t xml:space="preserve">  </w:t>
      </w:r>
      <w:r w:rsidR="00051D5B">
        <w:rPr>
          <w:rFonts w:ascii="Calibri" w:eastAsia="Times New Roman" w:hAnsi="Calibri" w:cs="Times New Roman"/>
        </w:rPr>
        <w:t>Kelly Jackson, Ronnie Mullins, Suzanne Panferov Reese, Lisa Turker, Brent White</w:t>
      </w:r>
    </w:p>
    <w:p w:rsidR="00051D5B" w:rsidRDefault="00051D5B" w:rsidP="00051D5B">
      <w:pPr>
        <w:spacing w:after="0" w:line="240" w:lineRule="auto"/>
        <w:rPr>
          <w:rFonts w:ascii="Calibri" w:eastAsia="Times New Roman" w:hAnsi="Calibri" w:cs="Times New Roman"/>
          <w:b/>
        </w:rPr>
      </w:pPr>
      <w:bookmarkStart w:id="0" w:name="_GoBack"/>
      <w:bookmarkEnd w:id="0"/>
    </w:p>
    <w:p w:rsidR="00051D5B" w:rsidRPr="003E275A" w:rsidRDefault="00051D5B" w:rsidP="00051D5B">
      <w:pPr>
        <w:spacing w:after="0" w:line="240" w:lineRule="auto"/>
        <w:rPr>
          <w:rFonts w:ascii="Calibri" w:eastAsia="Times New Roman" w:hAnsi="Calibri" w:cs="Times New Roman"/>
        </w:rPr>
      </w:pPr>
      <w:r w:rsidRPr="009C6FED">
        <w:rPr>
          <w:rFonts w:ascii="Calibri" w:eastAsia="Times New Roman" w:hAnsi="Calibri" w:cs="Times New Roman"/>
          <w:b/>
        </w:rPr>
        <w:t>Additional Guests:</w:t>
      </w:r>
      <w:r w:rsidRPr="009C6FED">
        <w:rPr>
          <w:rFonts w:ascii="Calibri" w:eastAsia="Times New Roman" w:hAnsi="Calibri" w:cs="Times New Roman"/>
        </w:rPr>
        <w:t xml:space="preserve">  Nick </w:t>
      </w:r>
      <w:proofErr w:type="spellStart"/>
      <w:r w:rsidRPr="009C6FED">
        <w:rPr>
          <w:rFonts w:ascii="Calibri" w:eastAsia="Times New Roman" w:hAnsi="Calibri" w:cs="Times New Roman"/>
        </w:rPr>
        <w:t>Ferdinandt</w:t>
      </w:r>
      <w:proofErr w:type="spellEnd"/>
      <w:r w:rsidRPr="009C6FED">
        <w:rPr>
          <w:rFonts w:ascii="Calibri" w:eastAsia="Times New Roman" w:hAnsi="Calibri" w:cs="Times New Roman"/>
        </w:rPr>
        <w:t>, Kim Jones, Eddy White</w:t>
      </w:r>
    </w:p>
    <w:p w:rsidR="003E275A" w:rsidRPr="003E275A" w:rsidRDefault="003E275A" w:rsidP="003E275A">
      <w:pPr>
        <w:pBdr>
          <w:bottom w:val="single" w:sz="12" w:space="1" w:color="auto"/>
        </w:pBdr>
        <w:spacing w:after="0" w:line="240" w:lineRule="auto"/>
        <w:rPr>
          <w:rFonts w:ascii="Calibri" w:eastAsia="Times New Roman" w:hAnsi="Calibri" w:cs="Times New Roman"/>
        </w:rPr>
      </w:pPr>
    </w:p>
    <w:p w:rsidR="003E275A" w:rsidRPr="003E275A" w:rsidRDefault="00051D5B" w:rsidP="00447378">
      <w:pPr>
        <w:spacing w:after="0" w:line="240" w:lineRule="auto"/>
        <w:contextualSpacing/>
        <w:rPr>
          <w:rFonts w:ascii="Calibri" w:eastAsia="Times New Roman" w:hAnsi="Calibri" w:cs="Times New Roman"/>
        </w:rPr>
      </w:pPr>
      <w:r>
        <w:rPr>
          <w:rFonts w:ascii="Calibri" w:eastAsia="Times New Roman" w:hAnsi="Calibri" w:cs="Times New Roman"/>
        </w:rPr>
        <w:t xml:space="preserve">Temporary </w:t>
      </w:r>
      <w:r w:rsidR="003E275A" w:rsidRPr="00A8708C">
        <w:rPr>
          <w:rFonts w:ascii="Calibri" w:eastAsia="Times New Roman" w:hAnsi="Calibri" w:cs="Times New Roman"/>
        </w:rPr>
        <w:t xml:space="preserve">Chair </w:t>
      </w:r>
      <w:r w:rsidR="00E14D2A" w:rsidRPr="00A8708C">
        <w:rPr>
          <w:rFonts w:ascii="Calibri" w:eastAsia="Times New Roman" w:hAnsi="Calibri" w:cs="Times New Roman"/>
        </w:rPr>
        <w:t xml:space="preserve">Claudia Stanescu </w:t>
      </w:r>
      <w:r w:rsidR="00A8708C">
        <w:rPr>
          <w:rFonts w:ascii="Calibri" w:eastAsia="Times New Roman" w:hAnsi="Calibri" w:cs="Times New Roman"/>
        </w:rPr>
        <w:t>c</w:t>
      </w:r>
      <w:r w:rsidR="003E275A" w:rsidRPr="00A8708C">
        <w:rPr>
          <w:rFonts w:ascii="Calibri" w:eastAsia="Times New Roman" w:hAnsi="Calibri" w:cs="Times New Roman"/>
        </w:rPr>
        <w:t xml:space="preserve">alled the meeting to </w:t>
      </w:r>
      <w:r w:rsidR="00AF2C2A">
        <w:rPr>
          <w:rFonts w:ascii="Calibri" w:eastAsia="Times New Roman" w:hAnsi="Calibri" w:cs="Times New Roman"/>
        </w:rPr>
        <w:t xml:space="preserve">order at </w:t>
      </w:r>
      <w:r w:rsidR="00AF2C2A">
        <w:rPr>
          <w:rFonts w:ascii="Calibri" w:eastAsia="Times New Roman" w:hAnsi="Calibri" w:cs="Times New Roman"/>
        </w:rPr>
        <w:softHyphen/>
      </w:r>
      <w:r w:rsidR="00AF2C2A">
        <w:rPr>
          <w:rFonts w:ascii="Calibri" w:eastAsia="Times New Roman" w:hAnsi="Calibri" w:cs="Times New Roman"/>
        </w:rPr>
        <w:softHyphen/>
      </w:r>
      <w:r w:rsidR="00AF2C2A">
        <w:rPr>
          <w:rFonts w:ascii="Calibri" w:eastAsia="Times New Roman" w:hAnsi="Calibri" w:cs="Times New Roman"/>
        </w:rPr>
        <w:softHyphen/>
        <w:t>3:3</w:t>
      </w:r>
      <w:r>
        <w:rPr>
          <w:rFonts w:ascii="Calibri" w:eastAsia="Times New Roman" w:hAnsi="Calibri" w:cs="Times New Roman"/>
        </w:rPr>
        <w:t>0</w:t>
      </w:r>
      <w:r w:rsidR="0045293F" w:rsidRPr="00A8708C">
        <w:rPr>
          <w:rFonts w:ascii="Calibri" w:eastAsia="Times New Roman" w:hAnsi="Calibri" w:cs="Times New Roman"/>
        </w:rPr>
        <w:t xml:space="preserve"> </w:t>
      </w:r>
      <w:r w:rsidR="003E275A" w:rsidRPr="00A8708C">
        <w:rPr>
          <w:rFonts w:ascii="Calibri" w:eastAsia="Times New Roman" w:hAnsi="Calibri" w:cs="Times New Roman"/>
        </w:rPr>
        <w:t xml:space="preserve">p.m. </w:t>
      </w:r>
      <w:r w:rsidR="00E06022">
        <w:rPr>
          <w:rFonts w:ascii="Calibri" w:eastAsia="Times New Roman" w:hAnsi="Calibri" w:cs="Times New Roman"/>
        </w:rPr>
        <w:t xml:space="preserve"> </w:t>
      </w:r>
      <w:r w:rsidR="00E14D2A" w:rsidRPr="00A8708C">
        <w:rPr>
          <w:rFonts w:ascii="Calibri" w:eastAsia="Times New Roman" w:hAnsi="Calibri" w:cs="Times New Roman"/>
        </w:rPr>
        <w:t>A</w:t>
      </w:r>
      <w:r w:rsidR="00681FB4" w:rsidRPr="00A8708C">
        <w:rPr>
          <w:rFonts w:ascii="Calibri" w:eastAsia="Times New Roman" w:hAnsi="Calibri" w:cs="Times New Roman"/>
        </w:rPr>
        <w:t xml:space="preserve"> quorum was established with </w:t>
      </w:r>
      <w:r>
        <w:rPr>
          <w:rFonts w:ascii="Calibri" w:eastAsia="Times New Roman" w:hAnsi="Calibri" w:cs="Times New Roman"/>
        </w:rPr>
        <w:t>8</w:t>
      </w:r>
      <w:r w:rsidR="00A8708C" w:rsidRPr="00A8708C">
        <w:rPr>
          <w:rFonts w:ascii="Calibri" w:eastAsia="Times New Roman" w:hAnsi="Calibri" w:cs="Times New Roman"/>
        </w:rPr>
        <w:t xml:space="preserve"> </w:t>
      </w:r>
      <w:r w:rsidR="00E14D2A">
        <w:rPr>
          <w:rFonts w:ascii="Calibri" w:eastAsia="Times New Roman" w:hAnsi="Calibri" w:cs="Times New Roman"/>
        </w:rPr>
        <w:t>voting members</w:t>
      </w:r>
      <w:r w:rsidR="0045293F">
        <w:rPr>
          <w:rFonts w:ascii="Calibri" w:eastAsia="Times New Roman" w:hAnsi="Calibri" w:cs="Times New Roman"/>
        </w:rPr>
        <w:t>.</w:t>
      </w:r>
    </w:p>
    <w:p w:rsidR="003E275A" w:rsidRPr="003E275A" w:rsidRDefault="003E275A" w:rsidP="003E275A">
      <w:pPr>
        <w:spacing w:after="0" w:line="240" w:lineRule="auto"/>
        <w:ind w:firstLine="360"/>
        <w:rPr>
          <w:rFonts w:ascii="Calibri" w:eastAsia="Times New Roman" w:hAnsi="Calibri" w:cs="Times New Roman"/>
        </w:rPr>
      </w:pPr>
    </w:p>
    <w:p w:rsidR="003E275A" w:rsidRPr="00A026B3" w:rsidRDefault="00AF2C2A" w:rsidP="003E275A">
      <w:pPr>
        <w:numPr>
          <w:ilvl w:val="0"/>
          <w:numId w:val="1"/>
        </w:numPr>
        <w:spacing w:after="0" w:line="240" w:lineRule="auto"/>
        <w:ind w:left="360" w:hanging="360"/>
        <w:contextualSpacing/>
        <w:rPr>
          <w:rFonts w:ascii="Calibri" w:eastAsia="Times New Roman" w:hAnsi="Calibri" w:cs="Times New Roman"/>
          <w:b/>
        </w:rPr>
      </w:pPr>
      <w:r>
        <w:rPr>
          <w:rFonts w:ascii="Calibri" w:eastAsia="Times New Roman" w:hAnsi="Calibri" w:cs="Times New Roman"/>
          <w:b/>
        </w:rPr>
        <w:t>Introduction</w:t>
      </w:r>
      <w:r w:rsidR="00447378">
        <w:rPr>
          <w:rFonts w:ascii="Calibri" w:eastAsia="Times New Roman" w:hAnsi="Calibri" w:cs="Times New Roman"/>
          <w:b/>
        </w:rPr>
        <w:t>s and Meeting Procedure</w:t>
      </w:r>
    </w:p>
    <w:p w:rsidR="003E275A" w:rsidRPr="00F9329E" w:rsidRDefault="00121735" w:rsidP="003E275A">
      <w:pPr>
        <w:spacing w:after="0" w:line="240" w:lineRule="auto"/>
        <w:ind w:left="360"/>
        <w:contextualSpacing/>
        <w:rPr>
          <w:rFonts w:ascii="Calibri" w:eastAsia="Times New Roman" w:hAnsi="Calibri" w:cs="Times New Roman"/>
        </w:rPr>
      </w:pPr>
      <w:r>
        <w:rPr>
          <w:rFonts w:ascii="Calibri" w:eastAsia="Times New Roman" w:hAnsi="Calibri" w:cs="Times New Roman"/>
        </w:rPr>
        <w:t xml:space="preserve">Claudia welcomed </w:t>
      </w:r>
      <w:r w:rsidR="00447378">
        <w:rPr>
          <w:rFonts w:ascii="Calibri" w:eastAsia="Times New Roman" w:hAnsi="Calibri" w:cs="Times New Roman"/>
        </w:rPr>
        <w:t>members</w:t>
      </w:r>
      <w:r>
        <w:rPr>
          <w:rFonts w:ascii="Calibri" w:eastAsia="Times New Roman" w:hAnsi="Calibri" w:cs="Times New Roman"/>
        </w:rPr>
        <w:t xml:space="preserve"> and a</w:t>
      </w:r>
      <w:r w:rsidR="00447378">
        <w:rPr>
          <w:rFonts w:ascii="Calibri" w:eastAsia="Times New Roman" w:hAnsi="Calibri" w:cs="Times New Roman"/>
        </w:rPr>
        <w:t>ske</w:t>
      </w:r>
      <w:r>
        <w:rPr>
          <w:rFonts w:ascii="Calibri" w:eastAsia="Times New Roman" w:hAnsi="Calibri" w:cs="Times New Roman"/>
        </w:rPr>
        <w:t xml:space="preserve">d </w:t>
      </w:r>
      <w:r w:rsidR="00447378">
        <w:rPr>
          <w:rFonts w:ascii="Calibri" w:eastAsia="Times New Roman" w:hAnsi="Calibri" w:cs="Times New Roman"/>
        </w:rPr>
        <w:t>f</w:t>
      </w:r>
      <w:r>
        <w:rPr>
          <w:rFonts w:ascii="Calibri" w:eastAsia="Times New Roman" w:hAnsi="Calibri" w:cs="Times New Roman"/>
        </w:rPr>
        <w:t xml:space="preserve">or introductions. </w:t>
      </w:r>
      <w:r w:rsidR="00447378">
        <w:rPr>
          <w:rFonts w:ascii="Calibri" w:eastAsia="Times New Roman" w:hAnsi="Calibri" w:cs="Times New Roman"/>
        </w:rPr>
        <w:t xml:space="preserve"> </w:t>
      </w:r>
      <w:r w:rsidR="00051D5B">
        <w:rPr>
          <w:rFonts w:ascii="Calibri" w:eastAsia="Times New Roman" w:hAnsi="Calibri" w:cs="Times New Roman"/>
        </w:rPr>
        <w:t xml:space="preserve">Claudia gave a brief overview of the purpose of the subcommittee and the responsibilities that subcommittee members have. Members should personally review proposals and share proposals with their colleagues to ensure that the member’s vote reflects the unit they represent rather than their personal perspective. This subcommittee should not be viewed as simply a rubber stamp, but should </w:t>
      </w:r>
      <w:r w:rsidR="00263BBE">
        <w:rPr>
          <w:rFonts w:ascii="Calibri" w:eastAsia="Times New Roman" w:hAnsi="Calibri" w:cs="Times New Roman"/>
        </w:rPr>
        <w:t>carefully consider proposals and be ready to deny them if they are not in the best interest of the institution.</w:t>
      </w:r>
      <w:r w:rsidR="00051D5B">
        <w:rPr>
          <w:rFonts w:ascii="Calibri" w:eastAsia="Times New Roman" w:hAnsi="Calibri" w:cs="Times New Roman"/>
        </w:rPr>
        <w:t xml:space="preserve"> </w:t>
      </w:r>
      <w:r w:rsidR="00263BBE">
        <w:rPr>
          <w:rFonts w:ascii="Calibri" w:eastAsia="Times New Roman" w:hAnsi="Calibri" w:cs="Times New Roman"/>
        </w:rPr>
        <w:t>P</w:t>
      </w:r>
      <w:r w:rsidR="00447378">
        <w:rPr>
          <w:rFonts w:ascii="Calibri" w:eastAsia="Times New Roman" w:hAnsi="Calibri" w:cs="Times New Roman"/>
        </w:rPr>
        <w:t>resenter</w:t>
      </w:r>
      <w:r w:rsidR="003E47D4">
        <w:rPr>
          <w:rFonts w:ascii="Calibri" w:eastAsia="Times New Roman" w:hAnsi="Calibri" w:cs="Times New Roman"/>
        </w:rPr>
        <w:t>s</w:t>
      </w:r>
      <w:r w:rsidR="00447378">
        <w:rPr>
          <w:rFonts w:ascii="Calibri" w:eastAsia="Times New Roman" w:hAnsi="Calibri" w:cs="Times New Roman"/>
        </w:rPr>
        <w:t xml:space="preserve"> </w:t>
      </w:r>
      <w:r w:rsidR="00263BBE">
        <w:rPr>
          <w:rFonts w:ascii="Calibri" w:eastAsia="Times New Roman" w:hAnsi="Calibri" w:cs="Times New Roman"/>
        </w:rPr>
        <w:t>will</w:t>
      </w:r>
      <w:r>
        <w:rPr>
          <w:rFonts w:ascii="Calibri" w:eastAsia="Times New Roman" w:hAnsi="Calibri" w:cs="Times New Roman"/>
        </w:rPr>
        <w:t xml:space="preserve"> present their proposals</w:t>
      </w:r>
      <w:r w:rsidR="00447378">
        <w:rPr>
          <w:rFonts w:ascii="Calibri" w:eastAsia="Times New Roman" w:hAnsi="Calibri" w:cs="Times New Roman"/>
        </w:rPr>
        <w:t xml:space="preserve"> and answer questions</w:t>
      </w:r>
      <w:r w:rsidR="003E47D4">
        <w:rPr>
          <w:rFonts w:ascii="Calibri" w:eastAsia="Times New Roman" w:hAnsi="Calibri" w:cs="Times New Roman"/>
        </w:rPr>
        <w:t>;</w:t>
      </w:r>
      <w:r>
        <w:rPr>
          <w:rFonts w:ascii="Calibri" w:eastAsia="Times New Roman" w:hAnsi="Calibri" w:cs="Times New Roman"/>
        </w:rPr>
        <w:t xml:space="preserve"> </w:t>
      </w:r>
      <w:r w:rsidR="003E47D4" w:rsidRPr="00F9329E">
        <w:rPr>
          <w:rFonts w:ascii="Calibri" w:eastAsia="Times New Roman" w:hAnsi="Calibri" w:cs="Times New Roman"/>
        </w:rPr>
        <w:t>after they depart,</w:t>
      </w:r>
      <w:r w:rsidRPr="00F9329E">
        <w:rPr>
          <w:rFonts w:ascii="Calibri" w:eastAsia="Times New Roman" w:hAnsi="Calibri" w:cs="Times New Roman"/>
        </w:rPr>
        <w:t xml:space="preserve"> the subcommittee </w:t>
      </w:r>
      <w:r w:rsidR="003E47D4" w:rsidRPr="00F9329E">
        <w:rPr>
          <w:rFonts w:ascii="Calibri" w:eastAsia="Times New Roman" w:hAnsi="Calibri" w:cs="Times New Roman"/>
        </w:rPr>
        <w:t>will discuss the proposal and vote.</w:t>
      </w:r>
    </w:p>
    <w:p w:rsidR="003E47D4" w:rsidRPr="00F9329E" w:rsidRDefault="003E47D4" w:rsidP="003E275A">
      <w:pPr>
        <w:spacing w:after="0" w:line="240" w:lineRule="auto"/>
        <w:ind w:left="360"/>
        <w:contextualSpacing/>
        <w:rPr>
          <w:rFonts w:ascii="Calibri" w:eastAsia="Times New Roman" w:hAnsi="Calibri" w:cs="Times New Roman"/>
        </w:rPr>
      </w:pPr>
    </w:p>
    <w:p w:rsidR="003E275A" w:rsidRPr="004A1BA5" w:rsidRDefault="00F9329E" w:rsidP="00F74BC1">
      <w:pPr>
        <w:numPr>
          <w:ilvl w:val="0"/>
          <w:numId w:val="1"/>
        </w:numPr>
        <w:spacing w:after="0" w:line="240" w:lineRule="auto"/>
        <w:ind w:left="360" w:hanging="360"/>
        <w:contextualSpacing/>
        <w:rPr>
          <w:rFonts w:ascii="Calibri" w:eastAsia="Times New Roman" w:hAnsi="Calibri" w:cs="Times New Roman"/>
          <w:b/>
        </w:rPr>
      </w:pPr>
      <w:r w:rsidRPr="00F9329E">
        <w:rPr>
          <w:rFonts w:ascii="Calibri" w:eastAsia="Times New Roman" w:hAnsi="Calibri" w:cs="Times New Roman"/>
          <w:b/>
        </w:rPr>
        <w:t>Policy Proposals</w:t>
      </w:r>
    </w:p>
    <w:p w:rsidR="009824C0" w:rsidRPr="004A1BA5" w:rsidRDefault="00E14D2A" w:rsidP="007A1E06">
      <w:pPr>
        <w:numPr>
          <w:ilvl w:val="1"/>
          <w:numId w:val="9"/>
        </w:numPr>
        <w:spacing w:after="0" w:line="240" w:lineRule="auto"/>
        <w:ind w:left="720"/>
        <w:contextualSpacing/>
        <w:rPr>
          <w:rFonts w:ascii="Calibri" w:eastAsia="Times New Roman" w:hAnsi="Calibri" w:cs="Times New Roman"/>
          <w:b/>
        </w:rPr>
      </w:pPr>
      <w:r w:rsidRPr="004A1BA5">
        <w:rPr>
          <w:rFonts w:ascii="Calibri" w:eastAsia="Times New Roman" w:hAnsi="Calibri" w:cs="Times New Roman"/>
          <w:b/>
        </w:rPr>
        <w:t>Prop</w:t>
      </w:r>
      <w:r w:rsidR="0045293F" w:rsidRPr="004A1BA5">
        <w:rPr>
          <w:rFonts w:ascii="Calibri" w:eastAsia="Times New Roman" w:hAnsi="Calibri" w:cs="Times New Roman"/>
          <w:b/>
        </w:rPr>
        <w:t>o</w:t>
      </w:r>
      <w:r w:rsidR="009824C0" w:rsidRPr="004A1BA5">
        <w:rPr>
          <w:rFonts w:ascii="Calibri" w:eastAsia="Times New Roman" w:hAnsi="Calibri" w:cs="Times New Roman"/>
          <w:b/>
        </w:rPr>
        <w:t xml:space="preserve">sal </w:t>
      </w:r>
      <w:r w:rsidR="007A1E06" w:rsidRPr="004A1BA5">
        <w:rPr>
          <w:rFonts w:ascii="Calibri" w:eastAsia="Times New Roman" w:hAnsi="Calibri" w:cs="Times New Roman"/>
          <w:b/>
        </w:rPr>
        <w:t xml:space="preserve">to </w:t>
      </w:r>
      <w:r w:rsidR="00263BBE" w:rsidRPr="004A1BA5">
        <w:rPr>
          <w:rFonts w:ascii="Calibri" w:eastAsia="Times New Roman" w:hAnsi="Calibri" w:cs="Times New Roman"/>
          <w:b/>
        </w:rPr>
        <w:t>Amend the Undergraduate Minors Policy</w:t>
      </w:r>
      <w:r w:rsidR="007A1E06" w:rsidRPr="004A1BA5">
        <w:rPr>
          <w:rFonts w:ascii="Calibri" w:eastAsia="Times New Roman" w:hAnsi="Calibri" w:cs="Times New Roman"/>
          <w:b/>
        </w:rPr>
        <w:t xml:space="preserve"> </w:t>
      </w:r>
      <w:r w:rsidRPr="004A1BA5">
        <w:rPr>
          <w:rFonts w:ascii="Calibri" w:eastAsia="Times New Roman" w:hAnsi="Calibri" w:cs="Times New Roman"/>
          <w:b/>
        </w:rPr>
        <w:t xml:space="preserve"> </w:t>
      </w:r>
      <w:r w:rsidR="003E275A" w:rsidRPr="004A1BA5">
        <w:rPr>
          <w:rFonts w:ascii="Calibri" w:eastAsia="Times New Roman" w:hAnsi="Calibri" w:cs="Times New Roman"/>
          <w:b/>
        </w:rPr>
        <w:t xml:space="preserve">– </w:t>
      </w:r>
      <w:r w:rsidR="0045293F" w:rsidRPr="004A1BA5">
        <w:rPr>
          <w:rFonts w:ascii="Calibri" w:eastAsia="Calibri" w:hAnsi="Calibri" w:cs="Times New Roman"/>
        </w:rPr>
        <w:t xml:space="preserve">submitted by </w:t>
      </w:r>
      <w:r w:rsidR="00600398" w:rsidRPr="004A1BA5">
        <w:rPr>
          <w:rFonts w:ascii="Calibri" w:eastAsia="Calibri" w:hAnsi="Calibri" w:cs="Times New Roman"/>
        </w:rPr>
        <w:t xml:space="preserve">the </w:t>
      </w:r>
      <w:r w:rsidR="00FD0C00" w:rsidRPr="004A1BA5">
        <w:rPr>
          <w:rFonts w:ascii="Calibri" w:eastAsia="Calibri" w:hAnsi="Calibri" w:cs="Times New Roman"/>
        </w:rPr>
        <w:t>Nutritional Sciences Department</w:t>
      </w:r>
      <w:r w:rsidR="007A1E06" w:rsidRPr="004A1BA5">
        <w:rPr>
          <w:rFonts w:ascii="Calibri" w:eastAsia="Calibri" w:hAnsi="Calibri" w:cs="Times New Roman"/>
        </w:rPr>
        <w:t xml:space="preserve"> </w:t>
      </w:r>
    </w:p>
    <w:p w:rsidR="00600398" w:rsidRPr="004A1BA5" w:rsidRDefault="0045293F" w:rsidP="00FD0C00">
      <w:pPr>
        <w:spacing w:after="0" w:line="240" w:lineRule="auto"/>
        <w:ind w:left="720"/>
        <w:contextualSpacing/>
        <w:rPr>
          <w:rFonts w:ascii="Calibri" w:eastAsia="Times New Roman" w:hAnsi="Calibri" w:cs="Times New Roman"/>
        </w:rPr>
      </w:pPr>
      <w:r w:rsidRPr="004A1BA5">
        <w:rPr>
          <w:rFonts w:ascii="Calibri" w:eastAsia="Times New Roman" w:hAnsi="Calibri" w:cs="Times New Roman"/>
          <w:b/>
        </w:rPr>
        <w:t>Presenter</w:t>
      </w:r>
      <w:r w:rsidR="003E47D4" w:rsidRPr="004A1BA5">
        <w:rPr>
          <w:rFonts w:ascii="Calibri" w:eastAsia="Times New Roman" w:hAnsi="Calibri" w:cs="Times New Roman"/>
          <w:b/>
        </w:rPr>
        <w:t>s</w:t>
      </w:r>
      <w:r w:rsidRPr="004A1BA5">
        <w:rPr>
          <w:rFonts w:ascii="Calibri" w:eastAsia="Times New Roman" w:hAnsi="Calibri" w:cs="Times New Roman"/>
          <w:b/>
        </w:rPr>
        <w:t>:</w:t>
      </w:r>
      <w:r w:rsidRPr="004A1BA5">
        <w:rPr>
          <w:rFonts w:ascii="Calibri" w:eastAsia="Times New Roman" w:hAnsi="Calibri" w:cs="Times New Roman"/>
        </w:rPr>
        <w:t xml:space="preserve"> </w:t>
      </w:r>
      <w:r w:rsidR="00FD0C00" w:rsidRPr="004A1BA5">
        <w:rPr>
          <w:rFonts w:ascii="Calibri" w:eastAsia="Times New Roman" w:hAnsi="Calibri" w:cs="Times New Roman"/>
        </w:rPr>
        <w:t>Kelly Jackson, Associate Professor of Practice, Nutritional Sciences</w:t>
      </w:r>
      <w:r w:rsidR="003E47D4" w:rsidRPr="004A1BA5">
        <w:rPr>
          <w:rFonts w:ascii="Calibri" w:eastAsia="Times New Roman" w:hAnsi="Calibri" w:cs="Times New Roman"/>
        </w:rPr>
        <w:t>;</w:t>
      </w:r>
      <w:r w:rsidR="00FD0C00" w:rsidRPr="004A1BA5">
        <w:rPr>
          <w:rFonts w:ascii="Calibri" w:eastAsia="Times New Roman" w:hAnsi="Calibri" w:cs="Times New Roman"/>
        </w:rPr>
        <w:t xml:space="preserve"> Ronnie Mullins, Assistant Professor of Practice, Nutritional Sciences</w:t>
      </w:r>
    </w:p>
    <w:p w:rsidR="0045293F" w:rsidRPr="004A1BA5" w:rsidRDefault="0045293F" w:rsidP="0045293F">
      <w:pPr>
        <w:spacing w:after="0" w:line="240" w:lineRule="auto"/>
        <w:ind w:left="720"/>
        <w:contextualSpacing/>
        <w:rPr>
          <w:rFonts w:ascii="Calibri" w:eastAsia="Times New Roman" w:hAnsi="Calibri" w:cs="Times New Roman"/>
        </w:rPr>
      </w:pPr>
    </w:p>
    <w:p w:rsidR="007E029B" w:rsidRPr="004A1BA5" w:rsidRDefault="007E029B" w:rsidP="00E454EB">
      <w:pPr>
        <w:spacing w:after="0" w:line="240" w:lineRule="auto"/>
        <w:ind w:left="720"/>
        <w:contextualSpacing/>
        <w:rPr>
          <w:rFonts w:ascii="Calibri" w:eastAsia="Times New Roman" w:hAnsi="Calibri" w:cs="Times New Roman"/>
        </w:rPr>
      </w:pPr>
      <w:r w:rsidRPr="004A1BA5">
        <w:rPr>
          <w:rFonts w:ascii="Calibri" w:eastAsia="Times New Roman" w:hAnsi="Calibri" w:cs="Times New Roman"/>
        </w:rPr>
        <w:t xml:space="preserve">This proposal is to update the existing policy on Undergraduate Minors, to explicitly state that a minor may be chosen from any department, including the department offering the student’s major. The update would continue to honor </w:t>
      </w:r>
      <w:r w:rsidR="00F05752" w:rsidRPr="004A1BA5">
        <w:rPr>
          <w:rFonts w:ascii="Calibri" w:eastAsia="Times New Roman" w:hAnsi="Calibri" w:cs="Times New Roman"/>
        </w:rPr>
        <w:t>existing</w:t>
      </w:r>
      <w:r w:rsidRPr="004A1BA5">
        <w:rPr>
          <w:rFonts w:ascii="Calibri" w:eastAsia="Times New Roman" w:hAnsi="Calibri" w:cs="Times New Roman"/>
        </w:rPr>
        <w:t xml:space="preserve"> double-dipping policies specific to individual departments or majors. The proposal was submitted by the Nutritional Sciences department because they would like to allow students with the Nutritional Sciences major to declare the Sports Nutrition minor. The </w:t>
      </w:r>
      <w:r w:rsidR="004E460D" w:rsidRPr="004A1BA5">
        <w:rPr>
          <w:rFonts w:ascii="Calibri" w:eastAsia="Times New Roman" w:hAnsi="Calibri" w:cs="Times New Roman"/>
        </w:rPr>
        <w:t>updated text would allow each department to choose whether students can major and minor within the department, and continue to set their own double-dipping policies. The Sports Nutrition minor doesn’t allow double-dipping, and is a distinctly different specialization from the Nutritional Sciences major; since this field requires significant work after the bachelor’s degree in Nutritional Sciences is complete, it would be beneficial for students to be able to begin Sports Nutrition coursework during their undergraduate career.</w:t>
      </w:r>
    </w:p>
    <w:p w:rsidR="00300F35" w:rsidRPr="004A1BA5" w:rsidRDefault="00300F35" w:rsidP="00F05752">
      <w:pPr>
        <w:spacing w:after="0" w:line="240" w:lineRule="auto"/>
        <w:contextualSpacing/>
        <w:rPr>
          <w:rFonts w:ascii="Calibri" w:eastAsia="Times New Roman" w:hAnsi="Calibri" w:cs="Times New Roman"/>
        </w:rPr>
      </w:pPr>
    </w:p>
    <w:p w:rsidR="000E589D" w:rsidRPr="004A1BA5" w:rsidRDefault="000E589D" w:rsidP="00E454EB">
      <w:pPr>
        <w:spacing w:after="0" w:line="240" w:lineRule="auto"/>
        <w:ind w:left="720"/>
        <w:contextualSpacing/>
        <w:rPr>
          <w:rFonts w:ascii="Calibri" w:eastAsia="Times New Roman" w:hAnsi="Calibri" w:cs="Times New Roman"/>
        </w:rPr>
      </w:pPr>
    </w:p>
    <w:p w:rsidR="008B4A57" w:rsidRPr="004A1BA5" w:rsidRDefault="00362E27" w:rsidP="009D2AE1">
      <w:pPr>
        <w:spacing w:after="0" w:line="240" w:lineRule="auto"/>
        <w:ind w:left="720"/>
        <w:contextualSpacing/>
        <w:rPr>
          <w:rFonts w:ascii="Calibri" w:eastAsia="Times New Roman" w:hAnsi="Calibri" w:cs="Times New Roman"/>
        </w:rPr>
      </w:pPr>
      <w:r w:rsidRPr="004A1BA5">
        <w:rPr>
          <w:rFonts w:ascii="Calibri" w:eastAsia="Times New Roman" w:hAnsi="Calibri" w:cs="Times New Roman"/>
          <w:u w:val="single"/>
        </w:rPr>
        <w:t>Discussion c</w:t>
      </w:r>
      <w:r w:rsidR="008B4A57" w:rsidRPr="004A1BA5">
        <w:rPr>
          <w:rFonts w:ascii="Calibri" w:eastAsia="Times New Roman" w:hAnsi="Calibri" w:cs="Times New Roman"/>
          <w:u w:val="single"/>
        </w:rPr>
        <w:t>ommenced</w:t>
      </w:r>
      <w:r w:rsidR="008B4A57" w:rsidRPr="004A1BA5">
        <w:rPr>
          <w:rFonts w:ascii="Calibri" w:eastAsia="Times New Roman" w:hAnsi="Calibri" w:cs="Times New Roman"/>
        </w:rPr>
        <w:t>:</w:t>
      </w:r>
    </w:p>
    <w:p w:rsidR="00AF2C2A" w:rsidRPr="004A1BA5" w:rsidRDefault="00E85B1F" w:rsidP="00F02355">
      <w:pPr>
        <w:pStyle w:val="ListParagraph"/>
        <w:numPr>
          <w:ilvl w:val="0"/>
          <w:numId w:val="12"/>
        </w:numPr>
        <w:spacing w:after="0" w:line="240" w:lineRule="auto"/>
        <w:rPr>
          <w:rFonts w:ascii="Calibri" w:eastAsia="Times New Roman" w:hAnsi="Calibri" w:cs="Times New Roman"/>
        </w:rPr>
      </w:pPr>
      <w:r w:rsidRPr="004A1BA5">
        <w:rPr>
          <w:rFonts w:ascii="Calibri" w:eastAsia="Times New Roman" w:hAnsi="Calibri" w:cs="Times New Roman"/>
        </w:rPr>
        <w:t xml:space="preserve">How similar is the Nutritional Sciences major coursework to the Sports Nutrition minor coursework? There is one course in common between the two plans (NSC 101); the department would require students to take an additional elective in place of those units as needed. </w:t>
      </w:r>
    </w:p>
    <w:p w:rsidR="00251727" w:rsidRPr="004A1BA5" w:rsidRDefault="00251727" w:rsidP="00F02355">
      <w:pPr>
        <w:pStyle w:val="ListParagraph"/>
        <w:numPr>
          <w:ilvl w:val="0"/>
          <w:numId w:val="12"/>
        </w:numPr>
        <w:spacing w:after="0" w:line="240" w:lineRule="auto"/>
        <w:rPr>
          <w:rFonts w:ascii="Calibri" w:eastAsia="Times New Roman" w:hAnsi="Calibri" w:cs="Times New Roman"/>
        </w:rPr>
      </w:pPr>
      <w:r w:rsidRPr="004A1BA5">
        <w:rPr>
          <w:rFonts w:ascii="Calibri" w:eastAsia="Times New Roman" w:hAnsi="Calibri" w:cs="Times New Roman"/>
        </w:rPr>
        <w:t>Is there a Sports Nutrition major? No; since you cannot be a sports dietician without first being a regular dietician, the Sports Nutrition curriculum is a useful minor but not a useful major.</w:t>
      </w:r>
    </w:p>
    <w:p w:rsidR="0047721D" w:rsidRPr="004A1BA5" w:rsidRDefault="00251727" w:rsidP="00F02355">
      <w:pPr>
        <w:pStyle w:val="ListParagraph"/>
        <w:numPr>
          <w:ilvl w:val="0"/>
          <w:numId w:val="12"/>
        </w:numPr>
        <w:spacing w:after="0" w:line="240" w:lineRule="auto"/>
        <w:rPr>
          <w:rFonts w:ascii="Calibri" w:eastAsia="Times New Roman" w:hAnsi="Calibri" w:cs="Times New Roman"/>
        </w:rPr>
      </w:pPr>
      <w:r w:rsidRPr="004A1BA5">
        <w:rPr>
          <w:rFonts w:ascii="Calibri" w:eastAsia="Times New Roman" w:hAnsi="Calibri" w:cs="Times New Roman"/>
        </w:rPr>
        <w:lastRenderedPageBreak/>
        <w:t xml:space="preserve">Is there any policy specifically prohibiting students from declaring their major and minor in the same department? This isn’t specifically addressed in the “Declaring a Minor” policy, but is implied by the Minor definition (at </w:t>
      </w:r>
      <w:hyperlink r:id="rId7" w:history="1">
        <w:r>
          <w:rPr>
            <w:rStyle w:val="Hyperlink"/>
          </w:rPr>
          <w:t>https://catalog.arizona.edu/definitions-key-terms</w:t>
        </w:r>
      </w:hyperlink>
      <w:r>
        <w:t>)</w:t>
      </w:r>
      <w:r w:rsidR="00BA5132">
        <w:t>, which states th</w:t>
      </w:r>
      <w:r w:rsidR="0047721D">
        <w:t xml:space="preserve">at “the minor is </w:t>
      </w:r>
      <w:r w:rsidR="0047721D" w:rsidRPr="004A1BA5">
        <w:t>a secondary field of study….” In practice, this is understood to mean that the faculty teaching the minor coursework should be distinct from the faculty teaching the major coursework.</w:t>
      </w:r>
    </w:p>
    <w:p w:rsidR="00F87A82" w:rsidRPr="004A1BA5" w:rsidRDefault="0047721D" w:rsidP="00F02355">
      <w:pPr>
        <w:pStyle w:val="ListParagraph"/>
        <w:numPr>
          <w:ilvl w:val="0"/>
          <w:numId w:val="12"/>
        </w:numPr>
        <w:spacing w:after="0" w:line="240" w:lineRule="auto"/>
        <w:rPr>
          <w:rFonts w:ascii="Calibri" w:eastAsia="Times New Roman" w:hAnsi="Calibri" w:cs="Times New Roman"/>
        </w:rPr>
      </w:pPr>
      <w:r w:rsidRPr="004A1BA5">
        <w:t xml:space="preserve">One significant concern with the proposal is that it </w:t>
      </w:r>
      <w:r w:rsidR="00F87A82" w:rsidRPr="004A1BA5">
        <w:t>would create an environment where departments encourage students to declare a major and a minor in the same field of study in order to financially benefit the department, without an academic benefit for the student.</w:t>
      </w:r>
      <w:r w:rsidRPr="004A1BA5">
        <w:t xml:space="preserve"> </w:t>
      </w:r>
      <w:r w:rsidR="00F87A82" w:rsidRPr="004A1BA5">
        <w:t>This possibility would go against the spirit of the minor, which is to broaden the horizons of students beyond their major field of study.</w:t>
      </w:r>
    </w:p>
    <w:p w:rsidR="00251727" w:rsidRPr="004A1BA5" w:rsidRDefault="00F87A82" w:rsidP="00F87A82">
      <w:pPr>
        <w:pStyle w:val="ListParagraph"/>
        <w:numPr>
          <w:ilvl w:val="0"/>
          <w:numId w:val="12"/>
        </w:numPr>
        <w:spacing w:after="0" w:line="240" w:lineRule="auto"/>
        <w:rPr>
          <w:rFonts w:ascii="Calibri" w:eastAsia="Times New Roman" w:hAnsi="Calibri" w:cs="Times New Roman"/>
        </w:rPr>
      </w:pPr>
      <w:r w:rsidRPr="004A1BA5">
        <w:t xml:space="preserve">Is there another way for Nutritional Sciences to allow their major students to get Sports Nutrition coursework, without declaring the Sports Nutrition minor? Suggestions included creating a Sports Nutrition </w:t>
      </w:r>
      <w:proofErr w:type="spellStart"/>
      <w:r w:rsidRPr="004A1BA5">
        <w:t>subplan</w:t>
      </w:r>
      <w:proofErr w:type="spellEnd"/>
      <w:r w:rsidRPr="004A1BA5">
        <w:t xml:space="preserve"> for the major (two </w:t>
      </w:r>
      <w:proofErr w:type="spellStart"/>
      <w:r w:rsidRPr="004A1BA5">
        <w:t>subplans</w:t>
      </w:r>
      <w:proofErr w:type="spellEnd"/>
      <w:r w:rsidRPr="004A1BA5">
        <w:t xml:space="preserve"> already exist for this major), and creating an undergraduate certificate once that option is available again.</w:t>
      </w:r>
      <w:r w:rsidR="00251727" w:rsidRPr="004A1BA5">
        <w:t xml:space="preserve"> </w:t>
      </w:r>
    </w:p>
    <w:p w:rsidR="00300F35" w:rsidRPr="004A1BA5" w:rsidRDefault="00300F35" w:rsidP="00300F35">
      <w:pPr>
        <w:pStyle w:val="ListParagraph"/>
        <w:spacing w:after="0" w:line="240" w:lineRule="auto"/>
        <w:ind w:left="1080"/>
        <w:rPr>
          <w:rFonts w:ascii="Calibri" w:eastAsia="Times New Roman" w:hAnsi="Calibri" w:cs="Times New Roman"/>
        </w:rPr>
      </w:pPr>
    </w:p>
    <w:p w:rsidR="006E7579" w:rsidRDefault="00954450" w:rsidP="006E7579">
      <w:pPr>
        <w:spacing w:after="0" w:line="240" w:lineRule="auto"/>
        <w:ind w:left="720"/>
        <w:rPr>
          <w:rFonts w:ascii="Calibri" w:eastAsia="Times New Roman" w:hAnsi="Calibri" w:cs="Times New Roman"/>
        </w:rPr>
      </w:pPr>
      <w:r w:rsidRPr="004A1BA5">
        <w:rPr>
          <w:rFonts w:ascii="Calibri" w:eastAsia="Times New Roman" w:hAnsi="Calibri" w:cs="Times New Roman"/>
        </w:rPr>
        <w:t>Since there were no further questions, the presenters left at this time.  Discussion continued:</w:t>
      </w:r>
    </w:p>
    <w:p w:rsidR="00174737" w:rsidRPr="004A1BA5" w:rsidRDefault="00174737" w:rsidP="006E7579">
      <w:pPr>
        <w:spacing w:after="0" w:line="240" w:lineRule="auto"/>
        <w:ind w:left="720"/>
        <w:rPr>
          <w:rFonts w:ascii="Calibri" w:eastAsia="Times New Roman" w:hAnsi="Calibri" w:cs="Times New Roman"/>
        </w:rPr>
      </w:pPr>
    </w:p>
    <w:p w:rsidR="00954450" w:rsidRDefault="00F87A82" w:rsidP="00F74BC1">
      <w:pPr>
        <w:pStyle w:val="ListParagraph"/>
        <w:numPr>
          <w:ilvl w:val="0"/>
          <w:numId w:val="12"/>
        </w:numPr>
        <w:spacing w:after="0" w:line="240" w:lineRule="auto"/>
        <w:rPr>
          <w:rFonts w:ascii="Calibri" w:eastAsia="Times New Roman" w:hAnsi="Calibri" w:cs="Times New Roman"/>
        </w:rPr>
      </w:pPr>
      <w:r w:rsidRPr="004A1BA5">
        <w:rPr>
          <w:rFonts w:ascii="Calibri" w:eastAsia="Times New Roman" w:hAnsi="Calibri" w:cs="Times New Roman"/>
        </w:rPr>
        <w:t xml:space="preserve">There was continued discussion concerning whether approving the update to this policy would make it too easy for students to major and minor in the same field. </w:t>
      </w:r>
      <w:r w:rsidR="00AB4B28">
        <w:rPr>
          <w:rFonts w:ascii="Calibri" w:eastAsia="Times New Roman" w:hAnsi="Calibri" w:cs="Times New Roman"/>
        </w:rPr>
        <w:t>Changing the institutional policy would create undesirable consequences. The case of the Sports Nutrition minor needs to be addressed individually, rather than by changing the institutional policy.</w:t>
      </w:r>
    </w:p>
    <w:p w:rsidR="00AB4B28" w:rsidRPr="009C6FED" w:rsidRDefault="00AB4B28" w:rsidP="00F74BC1">
      <w:pPr>
        <w:pStyle w:val="ListParagraph"/>
        <w:numPr>
          <w:ilvl w:val="0"/>
          <w:numId w:val="12"/>
        </w:numPr>
        <w:spacing w:after="0" w:line="240" w:lineRule="auto"/>
        <w:rPr>
          <w:rFonts w:ascii="Calibri" w:eastAsia="Times New Roman" w:hAnsi="Calibri" w:cs="Times New Roman"/>
        </w:rPr>
      </w:pPr>
      <w:r>
        <w:rPr>
          <w:rFonts w:ascii="Calibri" w:eastAsia="Times New Roman" w:hAnsi="Calibri" w:cs="Times New Roman"/>
        </w:rPr>
        <w:t xml:space="preserve">The consensus of the subcommittee was that the recommendation to the Nutritional Sciences department would be to look into creating either a new Sports Nutrition </w:t>
      </w:r>
      <w:proofErr w:type="spellStart"/>
      <w:r>
        <w:rPr>
          <w:rFonts w:ascii="Calibri" w:eastAsia="Times New Roman" w:hAnsi="Calibri" w:cs="Times New Roman"/>
        </w:rPr>
        <w:t>subplan</w:t>
      </w:r>
      <w:proofErr w:type="spellEnd"/>
      <w:r>
        <w:rPr>
          <w:rFonts w:ascii="Calibri" w:eastAsia="Times New Roman" w:hAnsi="Calibri" w:cs="Times New Roman"/>
        </w:rPr>
        <w:t xml:space="preserve"> within their Nutritional Sciences major, or a Sports Nutrition undergraduate certificate (when that option is available again)</w:t>
      </w:r>
      <w:r w:rsidR="005E5BA8">
        <w:rPr>
          <w:rFonts w:ascii="Calibri" w:eastAsia="Times New Roman" w:hAnsi="Calibri" w:cs="Times New Roman"/>
        </w:rPr>
        <w:t xml:space="preserve">. Both of those solutions would allow Nutritional Sciences majors to take Sports </w:t>
      </w:r>
      <w:r w:rsidR="005E5BA8" w:rsidRPr="009C6FED">
        <w:rPr>
          <w:rFonts w:ascii="Calibri" w:eastAsia="Times New Roman" w:hAnsi="Calibri" w:cs="Times New Roman"/>
        </w:rPr>
        <w:t>Nutrition coursework and have it appear on their transcript without requiring a change to the minor policy.</w:t>
      </w:r>
    </w:p>
    <w:p w:rsidR="00074353" w:rsidRPr="009C6FED" w:rsidRDefault="00074353" w:rsidP="004A1BA5">
      <w:pPr>
        <w:pStyle w:val="ListParagraph"/>
        <w:spacing w:after="0" w:line="240" w:lineRule="auto"/>
        <w:ind w:left="1080"/>
        <w:rPr>
          <w:rFonts w:ascii="Calibri" w:eastAsia="Times New Roman" w:hAnsi="Calibri" w:cs="Times New Roman"/>
        </w:rPr>
      </w:pPr>
    </w:p>
    <w:p w:rsidR="00D95E67" w:rsidRPr="009C6FED" w:rsidRDefault="00FD0C00" w:rsidP="00D95E67">
      <w:pPr>
        <w:spacing w:after="0" w:line="240" w:lineRule="auto"/>
        <w:ind w:left="720"/>
        <w:rPr>
          <w:rFonts w:ascii="Calibri" w:eastAsia="Times New Roman" w:hAnsi="Calibri" w:cs="Times New Roman"/>
          <w:b/>
        </w:rPr>
      </w:pPr>
      <w:proofErr w:type="spellStart"/>
      <w:r w:rsidRPr="009C6FED">
        <w:rPr>
          <w:rFonts w:ascii="Calibri" w:eastAsia="Times New Roman" w:hAnsi="Calibri" w:cs="Times New Roman"/>
          <w:b/>
        </w:rPr>
        <w:t>Joost</w:t>
      </w:r>
      <w:proofErr w:type="spellEnd"/>
      <w:r w:rsidRPr="009C6FED">
        <w:rPr>
          <w:rFonts w:ascii="Calibri" w:eastAsia="Times New Roman" w:hAnsi="Calibri" w:cs="Times New Roman"/>
          <w:b/>
        </w:rPr>
        <w:t xml:space="preserve"> van </w:t>
      </w:r>
      <w:proofErr w:type="spellStart"/>
      <w:r w:rsidRPr="009C6FED">
        <w:rPr>
          <w:rFonts w:ascii="Calibri" w:eastAsia="Times New Roman" w:hAnsi="Calibri" w:cs="Times New Roman"/>
          <w:b/>
        </w:rPr>
        <w:t>Haren</w:t>
      </w:r>
      <w:proofErr w:type="spellEnd"/>
      <w:r w:rsidR="00D95E67" w:rsidRPr="009C6FED">
        <w:rPr>
          <w:rFonts w:ascii="Calibri" w:eastAsia="Times New Roman" w:hAnsi="Calibri" w:cs="Times New Roman"/>
          <w:b/>
        </w:rPr>
        <w:t xml:space="preserve"> moved to </w:t>
      </w:r>
      <w:r w:rsidRPr="009C6FED">
        <w:rPr>
          <w:rFonts w:ascii="Calibri" w:eastAsia="Times New Roman" w:hAnsi="Calibri" w:cs="Times New Roman"/>
          <w:b/>
        </w:rPr>
        <w:t>deny</w:t>
      </w:r>
      <w:r w:rsidR="00D95E67" w:rsidRPr="009C6FED">
        <w:rPr>
          <w:rFonts w:ascii="Calibri" w:eastAsia="Times New Roman" w:hAnsi="Calibri" w:cs="Times New Roman"/>
          <w:b/>
        </w:rPr>
        <w:t xml:space="preserve"> the p</w:t>
      </w:r>
      <w:r w:rsidR="00DA4C76" w:rsidRPr="009C6FED">
        <w:rPr>
          <w:rFonts w:ascii="Calibri" w:eastAsia="Times New Roman" w:hAnsi="Calibri" w:cs="Times New Roman"/>
          <w:b/>
        </w:rPr>
        <w:t>roposal</w:t>
      </w:r>
      <w:r w:rsidR="00D95E67" w:rsidRPr="009C6FED">
        <w:rPr>
          <w:rFonts w:ascii="Calibri" w:eastAsia="Times New Roman" w:hAnsi="Calibri" w:cs="Times New Roman"/>
          <w:b/>
        </w:rPr>
        <w:t xml:space="preserve">, and </w:t>
      </w:r>
      <w:r w:rsidRPr="009C6FED">
        <w:rPr>
          <w:rFonts w:ascii="Calibri" w:eastAsia="Times New Roman" w:hAnsi="Calibri" w:cs="Times New Roman"/>
          <w:b/>
        </w:rPr>
        <w:t>David Ortiz</w:t>
      </w:r>
      <w:r w:rsidR="00D95E67" w:rsidRPr="009C6FED">
        <w:rPr>
          <w:rFonts w:ascii="Calibri" w:eastAsia="Times New Roman" w:hAnsi="Calibri" w:cs="Times New Roman"/>
          <w:b/>
        </w:rPr>
        <w:t xml:space="preserve"> seconded the motion. The</w:t>
      </w:r>
      <w:r w:rsidR="00EE4F33" w:rsidRPr="009C6FED">
        <w:rPr>
          <w:rFonts w:ascii="Calibri" w:eastAsia="Times New Roman" w:hAnsi="Calibri" w:cs="Times New Roman"/>
          <w:b/>
        </w:rPr>
        <w:t xml:space="preserve"> vote</w:t>
      </w:r>
      <w:r w:rsidR="00DA4C76" w:rsidRPr="009C6FED">
        <w:rPr>
          <w:rFonts w:ascii="Calibri" w:eastAsia="Times New Roman" w:hAnsi="Calibri" w:cs="Times New Roman"/>
          <w:b/>
        </w:rPr>
        <w:t xml:space="preserve"> was </w:t>
      </w:r>
      <w:r w:rsidRPr="009C6FED">
        <w:rPr>
          <w:rFonts w:ascii="Calibri" w:eastAsia="Times New Roman" w:hAnsi="Calibri" w:cs="Times New Roman"/>
          <w:b/>
        </w:rPr>
        <w:t>unanimous</w:t>
      </w:r>
      <w:r w:rsidR="00DA4C76" w:rsidRPr="009C6FED">
        <w:rPr>
          <w:rFonts w:ascii="Calibri" w:eastAsia="Times New Roman" w:hAnsi="Calibri" w:cs="Times New Roman"/>
          <w:b/>
        </w:rPr>
        <w:t xml:space="preserve">, </w:t>
      </w:r>
      <w:r w:rsidRPr="009C6FED">
        <w:rPr>
          <w:rFonts w:ascii="Calibri" w:eastAsia="Times New Roman" w:hAnsi="Calibri" w:cs="Times New Roman"/>
          <w:b/>
        </w:rPr>
        <w:t>with 8 votes in favor of denying</w:t>
      </w:r>
      <w:r w:rsidR="00EE4F33" w:rsidRPr="009C6FED">
        <w:rPr>
          <w:rFonts w:ascii="Calibri" w:eastAsia="Times New Roman" w:hAnsi="Calibri" w:cs="Times New Roman"/>
          <w:b/>
        </w:rPr>
        <w:t>.</w:t>
      </w:r>
    </w:p>
    <w:p w:rsidR="00074353" w:rsidRPr="009C6FED" w:rsidRDefault="00EE4F33" w:rsidP="00AB4B28">
      <w:pPr>
        <w:spacing w:after="0" w:line="240" w:lineRule="auto"/>
        <w:rPr>
          <w:rFonts w:ascii="Calibri" w:eastAsia="Times New Roman" w:hAnsi="Calibri" w:cs="Times New Roman"/>
          <w:b/>
        </w:rPr>
      </w:pPr>
      <w:r w:rsidRPr="009C6FED">
        <w:rPr>
          <w:rFonts w:ascii="Calibri" w:eastAsia="Times New Roman" w:hAnsi="Calibri" w:cs="Times New Roman"/>
          <w:b/>
        </w:rPr>
        <w:t xml:space="preserve"> </w:t>
      </w:r>
    </w:p>
    <w:p w:rsidR="00AF2C2A" w:rsidRPr="009C6FED" w:rsidRDefault="00AF2C2A" w:rsidP="00AF2C2A">
      <w:pPr>
        <w:spacing w:after="0" w:line="240" w:lineRule="auto"/>
        <w:rPr>
          <w:rFonts w:ascii="Calibri" w:eastAsia="Times New Roman" w:hAnsi="Calibri" w:cs="Times New Roman"/>
          <w:b/>
        </w:rPr>
      </w:pPr>
    </w:p>
    <w:p w:rsidR="00AF2C2A" w:rsidRPr="009C6FED" w:rsidRDefault="00AF2C2A" w:rsidP="00F9329E">
      <w:pPr>
        <w:pStyle w:val="ListParagraph"/>
        <w:numPr>
          <w:ilvl w:val="0"/>
          <w:numId w:val="18"/>
        </w:numPr>
        <w:spacing w:after="0" w:line="240" w:lineRule="auto"/>
        <w:ind w:left="720"/>
        <w:rPr>
          <w:rFonts w:ascii="Calibri" w:eastAsia="Times New Roman" w:hAnsi="Calibri" w:cs="Times New Roman"/>
          <w:b/>
        </w:rPr>
      </w:pPr>
      <w:r w:rsidRPr="009C6FED">
        <w:rPr>
          <w:rFonts w:ascii="Calibri" w:eastAsia="Times New Roman" w:hAnsi="Calibri" w:cs="Times New Roman"/>
          <w:b/>
        </w:rPr>
        <w:t xml:space="preserve">Proposal to </w:t>
      </w:r>
      <w:r w:rsidR="00FD0C00" w:rsidRPr="009C6FED">
        <w:rPr>
          <w:rFonts w:ascii="Calibri" w:eastAsia="Times New Roman" w:hAnsi="Calibri" w:cs="Times New Roman"/>
          <w:b/>
        </w:rPr>
        <w:t>Standardize Offering UA University Credit for UA Study Abroad Programs</w:t>
      </w:r>
      <w:r w:rsidRPr="009C6FED">
        <w:rPr>
          <w:rFonts w:ascii="Calibri" w:eastAsia="Times New Roman" w:hAnsi="Calibri" w:cs="Times New Roman"/>
          <w:b/>
        </w:rPr>
        <w:t xml:space="preserve"> –</w:t>
      </w:r>
      <w:r w:rsidRPr="009C6FED">
        <w:rPr>
          <w:rFonts w:ascii="Calibri" w:eastAsia="Calibri" w:hAnsi="Calibri" w:cs="Times New Roman"/>
        </w:rPr>
        <w:t xml:space="preserve"> submitted by </w:t>
      </w:r>
      <w:r w:rsidR="00FD0C00" w:rsidRPr="009C6FED">
        <w:rPr>
          <w:rFonts w:ascii="Calibri" w:eastAsia="Calibri" w:hAnsi="Calibri" w:cs="Times New Roman"/>
        </w:rPr>
        <w:t>UA Global</w:t>
      </w:r>
    </w:p>
    <w:p w:rsidR="00AF2C2A" w:rsidRPr="009C6FED" w:rsidRDefault="00AF2C2A" w:rsidP="00AF2C2A">
      <w:pPr>
        <w:spacing w:after="0" w:line="240" w:lineRule="auto"/>
        <w:ind w:left="720"/>
        <w:contextualSpacing/>
        <w:rPr>
          <w:rFonts w:ascii="Calibri" w:eastAsia="Times New Roman" w:hAnsi="Calibri" w:cs="Times New Roman"/>
        </w:rPr>
      </w:pPr>
      <w:r w:rsidRPr="009C6FED">
        <w:rPr>
          <w:rFonts w:ascii="Calibri" w:eastAsia="Times New Roman" w:hAnsi="Calibri" w:cs="Times New Roman"/>
        </w:rPr>
        <w:t>Presenter</w:t>
      </w:r>
      <w:r w:rsidR="00FD0C00" w:rsidRPr="009C6FED">
        <w:rPr>
          <w:rFonts w:ascii="Calibri" w:eastAsia="Times New Roman" w:hAnsi="Calibri" w:cs="Times New Roman"/>
        </w:rPr>
        <w:t>s</w:t>
      </w:r>
      <w:r w:rsidRPr="009C6FED">
        <w:rPr>
          <w:rFonts w:ascii="Calibri" w:eastAsia="Times New Roman" w:hAnsi="Calibri" w:cs="Times New Roman"/>
        </w:rPr>
        <w:t xml:space="preserve">: </w:t>
      </w:r>
      <w:r w:rsidR="00FD0C00" w:rsidRPr="009C6FED">
        <w:rPr>
          <w:rFonts w:ascii="Calibri" w:eastAsia="Times New Roman" w:hAnsi="Calibri" w:cs="Times New Roman"/>
        </w:rPr>
        <w:t>Brent White, Vice Provost, Global Affairs; Lisa Turker, Director, Arizona Abroad Locations</w:t>
      </w:r>
    </w:p>
    <w:p w:rsidR="00AF2C2A" w:rsidRPr="009C6FED" w:rsidRDefault="00AF2C2A" w:rsidP="00AF2C2A">
      <w:pPr>
        <w:spacing w:after="0" w:line="240" w:lineRule="auto"/>
        <w:ind w:left="720"/>
        <w:contextualSpacing/>
        <w:rPr>
          <w:rFonts w:ascii="Calibri" w:eastAsia="Times New Roman" w:hAnsi="Calibri" w:cs="Times New Roman"/>
        </w:rPr>
      </w:pPr>
    </w:p>
    <w:p w:rsidR="00D1615E" w:rsidRPr="009C6FED" w:rsidRDefault="001A397B" w:rsidP="001A397B">
      <w:pPr>
        <w:spacing w:after="0" w:line="240" w:lineRule="auto"/>
        <w:ind w:left="720"/>
        <w:contextualSpacing/>
        <w:rPr>
          <w:rFonts w:ascii="Calibri" w:eastAsia="Times New Roman" w:hAnsi="Calibri" w:cs="Times New Roman"/>
        </w:rPr>
      </w:pPr>
      <w:r w:rsidRPr="009C6FED">
        <w:rPr>
          <w:rFonts w:ascii="Calibri" w:eastAsia="Times New Roman" w:hAnsi="Calibri" w:cs="Times New Roman"/>
        </w:rPr>
        <w:t xml:space="preserve">This </w:t>
      </w:r>
      <w:r w:rsidR="009C3A78" w:rsidRPr="009C6FED">
        <w:rPr>
          <w:rFonts w:ascii="Calibri" w:eastAsia="Times New Roman" w:hAnsi="Calibri" w:cs="Times New Roman"/>
        </w:rPr>
        <w:t xml:space="preserve">proposal is to update the language of three UA policies to standardize how coursework taken through Study Abroad counts. Changes to the </w:t>
      </w:r>
      <w:r w:rsidR="009C3A78" w:rsidRPr="009C6FED">
        <w:rPr>
          <w:rFonts w:ascii="Calibri" w:eastAsia="Times New Roman" w:hAnsi="Calibri" w:cs="Times New Roman"/>
          <w:i/>
        </w:rPr>
        <w:t xml:space="preserve">Units in Residence – University Credit Requirement, </w:t>
      </w:r>
      <w:r w:rsidR="009C3A78" w:rsidRPr="009C6FED">
        <w:rPr>
          <w:rFonts w:ascii="Calibri" w:eastAsia="Times New Roman" w:hAnsi="Calibri" w:cs="Times New Roman"/>
        </w:rPr>
        <w:t xml:space="preserve">the </w:t>
      </w:r>
      <w:r w:rsidR="009C3A78" w:rsidRPr="009C6FED">
        <w:rPr>
          <w:rFonts w:ascii="Calibri" w:eastAsia="Times New Roman" w:hAnsi="Calibri" w:cs="Times New Roman"/>
          <w:i/>
        </w:rPr>
        <w:t>Acceptability of Undergraduate Transfer Credit</w:t>
      </w:r>
      <w:r w:rsidR="009C3A78" w:rsidRPr="009C6FED">
        <w:rPr>
          <w:rFonts w:ascii="Calibri" w:eastAsia="Times New Roman" w:hAnsi="Calibri" w:cs="Times New Roman"/>
        </w:rPr>
        <w:t xml:space="preserve">, and the </w:t>
      </w:r>
      <w:r w:rsidR="009C3A78" w:rsidRPr="009C6FED">
        <w:rPr>
          <w:rFonts w:ascii="Calibri" w:eastAsia="Times New Roman" w:hAnsi="Calibri" w:cs="Times New Roman"/>
          <w:i/>
        </w:rPr>
        <w:t>Graduation Grade Averages and Credit Requirements</w:t>
      </w:r>
      <w:r w:rsidR="009C3A78" w:rsidRPr="009C6FED">
        <w:rPr>
          <w:rFonts w:ascii="Calibri" w:eastAsia="Times New Roman" w:hAnsi="Calibri" w:cs="Times New Roman"/>
        </w:rPr>
        <w:t xml:space="preserve"> policies were proposed.</w:t>
      </w:r>
      <w:r w:rsidRPr="009C6FED">
        <w:rPr>
          <w:rFonts w:ascii="Calibri" w:eastAsia="Times New Roman" w:hAnsi="Calibri" w:cs="Times New Roman"/>
        </w:rPr>
        <w:t xml:space="preserve"> </w:t>
      </w:r>
      <w:r w:rsidR="008F50DF" w:rsidRPr="009C6FED">
        <w:rPr>
          <w:rFonts w:ascii="Calibri" w:eastAsia="Times New Roman" w:hAnsi="Calibri" w:cs="Times New Roman"/>
        </w:rPr>
        <w:t xml:space="preserve"> </w:t>
      </w:r>
      <w:r w:rsidR="009C3A78" w:rsidRPr="009C6FED">
        <w:rPr>
          <w:rFonts w:ascii="Calibri" w:eastAsia="Times New Roman" w:hAnsi="Calibri" w:cs="Times New Roman"/>
        </w:rPr>
        <w:t xml:space="preserve">There are well over 100 courses that are currently offered through Study Abroad that are listed as UA courses; the proposal will make the process for offering UA credit through Study Abroad more consistent, and will facilitate better utilization of Study Abroad. Clearly labeling Study Abroad courses as UA credit will ensure that students can use their financial aid for these courses, lowering current barriers to access so </w:t>
      </w:r>
      <w:r w:rsidR="00C43A19" w:rsidRPr="009C6FED">
        <w:rPr>
          <w:rFonts w:ascii="Calibri" w:eastAsia="Times New Roman" w:hAnsi="Calibri" w:cs="Times New Roman"/>
        </w:rPr>
        <w:t>more students can take advantage of this opportunity. Currently participation in Study Abroad is skewed toward nonresident students because of the cost. Uncertainty about how coursework will count toward a degree is another barrier to access which would be lessened by this proposal.</w:t>
      </w:r>
    </w:p>
    <w:p w:rsidR="00AF2C2A" w:rsidRPr="009C6FED" w:rsidRDefault="00AF2C2A" w:rsidP="00E63396">
      <w:pPr>
        <w:spacing w:after="0" w:line="240" w:lineRule="auto"/>
        <w:contextualSpacing/>
        <w:rPr>
          <w:rFonts w:ascii="Calibri" w:eastAsia="Times New Roman" w:hAnsi="Calibri" w:cs="Times New Roman"/>
        </w:rPr>
      </w:pPr>
    </w:p>
    <w:p w:rsidR="00AF2C2A" w:rsidRPr="009C6FED" w:rsidRDefault="00AF2C2A" w:rsidP="008C3F57">
      <w:pPr>
        <w:spacing w:after="0" w:line="240" w:lineRule="auto"/>
        <w:ind w:left="720"/>
        <w:contextualSpacing/>
        <w:rPr>
          <w:rFonts w:ascii="Calibri" w:eastAsia="Times New Roman" w:hAnsi="Calibri" w:cs="Times New Roman"/>
        </w:rPr>
      </w:pPr>
      <w:r w:rsidRPr="009C6FED">
        <w:rPr>
          <w:rFonts w:ascii="Calibri" w:eastAsia="Times New Roman" w:hAnsi="Calibri" w:cs="Times New Roman"/>
          <w:u w:val="single"/>
        </w:rPr>
        <w:t>Discuss</w:t>
      </w:r>
      <w:r w:rsidR="001852A5" w:rsidRPr="009C6FED">
        <w:rPr>
          <w:rFonts w:ascii="Calibri" w:eastAsia="Times New Roman" w:hAnsi="Calibri" w:cs="Times New Roman"/>
          <w:u w:val="single"/>
        </w:rPr>
        <w:t>ion c</w:t>
      </w:r>
      <w:r w:rsidRPr="009C6FED">
        <w:rPr>
          <w:rFonts w:ascii="Calibri" w:eastAsia="Times New Roman" w:hAnsi="Calibri" w:cs="Times New Roman"/>
          <w:u w:val="single"/>
        </w:rPr>
        <w:t>ommenced</w:t>
      </w:r>
      <w:r w:rsidRPr="009C6FED">
        <w:rPr>
          <w:rFonts w:ascii="Calibri" w:eastAsia="Times New Roman" w:hAnsi="Calibri" w:cs="Times New Roman"/>
        </w:rPr>
        <w:t>:</w:t>
      </w:r>
    </w:p>
    <w:p w:rsidR="008C3F57" w:rsidRPr="009C6FED" w:rsidRDefault="00C43A19" w:rsidP="00600398">
      <w:pPr>
        <w:pStyle w:val="ListParagraph"/>
        <w:numPr>
          <w:ilvl w:val="0"/>
          <w:numId w:val="12"/>
        </w:numPr>
        <w:spacing w:after="0" w:line="240" w:lineRule="auto"/>
        <w:rPr>
          <w:rFonts w:ascii="Calibri" w:eastAsia="Times New Roman" w:hAnsi="Calibri" w:cs="Times New Roman"/>
          <w:b/>
        </w:rPr>
      </w:pPr>
      <w:r w:rsidRPr="009C6FED">
        <w:rPr>
          <w:rFonts w:ascii="Calibri" w:eastAsia="Times New Roman" w:hAnsi="Calibri" w:cs="Times New Roman"/>
        </w:rPr>
        <w:t>Will this change the requirement that students complete at least one year in residence? No.</w:t>
      </w:r>
    </w:p>
    <w:p w:rsidR="00C43A19" w:rsidRPr="009C6FED" w:rsidRDefault="00C43A19" w:rsidP="00600398">
      <w:pPr>
        <w:pStyle w:val="ListParagraph"/>
        <w:numPr>
          <w:ilvl w:val="0"/>
          <w:numId w:val="12"/>
        </w:numPr>
        <w:spacing w:after="0" w:line="240" w:lineRule="auto"/>
        <w:rPr>
          <w:rFonts w:ascii="Calibri" w:eastAsia="Times New Roman" w:hAnsi="Calibri" w:cs="Times New Roman"/>
          <w:b/>
        </w:rPr>
      </w:pPr>
      <w:r w:rsidRPr="009C6FED">
        <w:rPr>
          <w:rFonts w:ascii="Calibri" w:eastAsia="Times New Roman" w:hAnsi="Calibri" w:cs="Times New Roman"/>
        </w:rPr>
        <w:t>Will this policy change affect Graduate students? No, this proposal is for Undergraduate students only.</w:t>
      </w:r>
    </w:p>
    <w:p w:rsidR="00C43A19" w:rsidRPr="009C6FED" w:rsidRDefault="00C43A19" w:rsidP="00600398">
      <w:pPr>
        <w:pStyle w:val="ListParagraph"/>
        <w:numPr>
          <w:ilvl w:val="0"/>
          <w:numId w:val="12"/>
        </w:numPr>
        <w:spacing w:after="0" w:line="240" w:lineRule="auto"/>
        <w:rPr>
          <w:rFonts w:ascii="Calibri" w:eastAsia="Times New Roman" w:hAnsi="Calibri" w:cs="Times New Roman"/>
          <w:b/>
        </w:rPr>
      </w:pPr>
      <w:r w:rsidRPr="009C6FED">
        <w:rPr>
          <w:rFonts w:ascii="Calibri" w:eastAsia="Times New Roman" w:hAnsi="Calibri" w:cs="Times New Roman"/>
        </w:rPr>
        <w:t>How many students currently participate in Study Abroad? Around 1,300. This number doesn’t even place the UA in the top 50 institutions for Study Abroad participation.</w:t>
      </w:r>
    </w:p>
    <w:p w:rsidR="00C43A19" w:rsidRPr="009C6FED" w:rsidRDefault="00C43A19" w:rsidP="00600398">
      <w:pPr>
        <w:pStyle w:val="ListParagraph"/>
        <w:numPr>
          <w:ilvl w:val="0"/>
          <w:numId w:val="12"/>
        </w:numPr>
        <w:spacing w:after="0" w:line="240" w:lineRule="auto"/>
        <w:rPr>
          <w:rFonts w:ascii="Calibri" w:eastAsia="Times New Roman" w:hAnsi="Calibri" w:cs="Times New Roman"/>
          <w:b/>
        </w:rPr>
      </w:pPr>
      <w:r w:rsidRPr="009C6FED">
        <w:rPr>
          <w:rFonts w:ascii="Calibri" w:eastAsia="Times New Roman" w:hAnsi="Calibri" w:cs="Times New Roman"/>
        </w:rPr>
        <w:t xml:space="preserve">Can the proposed language for the </w:t>
      </w:r>
      <w:r w:rsidRPr="009C6FED">
        <w:rPr>
          <w:rFonts w:ascii="Calibri" w:eastAsia="Times New Roman" w:hAnsi="Calibri" w:cs="Times New Roman"/>
          <w:i/>
        </w:rPr>
        <w:t>Units in Residence</w:t>
      </w:r>
      <w:r w:rsidRPr="009C6FED">
        <w:rPr>
          <w:rFonts w:ascii="Calibri" w:eastAsia="Times New Roman" w:hAnsi="Calibri" w:cs="Times New Roman"/>
        </w:rPr>
        <w:t xml:space="preserve"> section be altered to more clearly state that Study Abroad courses do not count toward the required 18 units in residence? Yes, UA Global would accept a rewritten version of that language.</w:t>
      </w:r>
    </w:p>
    <w:p w:rsidR="00C43A19" w:rsidRPr="009C6FED" w:rsidRDefault="00C43A19" w:rsidP="00600398">
      <w:pPr>
        <w:pStyle w:val="ListParagraph"/>
        <w:numPr>
          <w:ilvl w:val="0"/>
          <w:numId w:val="12"/>
        </w:numPr>
        <w:spacing w:after="0" w:line="240" w:lineRule="auto"/>
        <w:rPr>
          <w:rFonts w:ascii="Calibri" w:eastAsia="Times New Roman" w:hAnsi="Calibri" w:cs="Times New Roman"/>
          <w:b/>
        </w:rPr>
      </w:pPr>
      <w:r w:rsidRPr="009C6FED">
        <w:rPr>
          <w:rFonts w:ascii="Calibri" w:eastAsia="Times New Roman" w:hAnsi="Calibri" w:cs="Times New Roman"/>
        </w:rPr>
        <w:t xml:space="preserve">How are grievances (for discrimination or other mistreatment) handled when students are taking UA courses through an exchange partner?  </w:t>
      </w:r>
      <w:r w:rsidR="009C6FED" w:rsidRPr="009C6FED">
        <w:rPr>
          <w:rFonts w:ascii="Calibri" w:eastAsia="Times New Roman" w:hAnsi="Calibri" w:cs="Times New Roman"/>
        </w:rPr>
        <w:t>Students would work through the Dean of Students as they would on campus. For grade appeals, students would work through the host campus’ processes. Additional language can be added to make this process more clear.</w:t>
      </w:r>
    </w:p>
    <w:p w:rsidR="009C6FED" w:rsidRPr="009C6FED" w:rsidRDefault="009C6FED" w:rsidP="009C6FED">
      <w:pPr>
        <w:pStyle w:val="ListParagraph"/>
        <w:spacing w:after="0" w:line="240" w:lineRule="auto"/>
        <w:ind w:left="1080"/>
        <w:rPr>
          <w:rFonts w:ascii="Calibri" w:eastAsia="Times New Roman" w:hAnsi="Calibri" w:cs="Times New Roman"/>
          <w:b/>
        </w:rPr>
      </w:pPr>
    </w:p>
    <w:p w:rsidR="00300F35" w:rsidRPr="009C6FED" w:rsidRDefault="00300F35" w:rsidP="00300F35">
      <w:pPr>
        <w:pStyle w:val="ListParagraph"/>
        <w:spacing w:after="0" w:line="240" w:lineRule="auto"/>
        <w:ind w:left="1080"/>
        <w:rPr>
          <w:rFonts w:ascii="Calibri" w:eastAsia="Times New Roman" w:hAnsi="Calibri" w:cs="Times New Roman"/>
        </w:rPr>
      </w:pPr>
    </w:p>
    <w:p w:rsidR="00B1151A" w:rsidRPr="009C6FED" w:rsidRDefault="00B1151A" w:rsidP="00B1151A">
      <w:pPr>
        <w:spacing w:after="0" w:line="240" w:lineRule="auto"/>
        <w:ind w:left="720"/>
        <w:rPr>
          <w:rFonts w:ascii="Calibri" w:eastAsia="Times New Roman" w:hAnsi="Calibri" w:cs="Times New Roman"/>
        </w:rPr>
      </w:pPr>
      <w:r w:rsidRPr="009C6FED">
        <w:rPr>
          <w:rFonts w:ascii="Calibri" w:eastAsia="Times New Roman" w:hAnsi="Calibri" w:cs="Times New Roman"/>
        </w:rPr>
        <w:t>Since there were no further questions, the presenter</w:t>
      </w:r>
      <w:r w:rsidR="00174737" w:rsidRPr="009C6FED">
        <w:rPr>
          <w:rFonts w:ascii="Calibri" w:eastAsia="Times New Roman" w:hAnsi="Calibri" w:cs="Times New Roman"/>
        </w:rPr>
        <w:t>s</w:t>
      </w:r>
      <w:r w:rsidRPr="009C6FED">
        <w:rPr>
          <w:rFonts w:ascii="Calibri" w:eastAsia="Times New Roman" w:hAnsi="Calibri" w:cs="Times New Roman"/>
        </w:rPr>
        <w:t xml:space="preserve"> left at this time.  Discussion continued:</w:t>
      </w:r>
    </w:p>
    <w:p w:rsidR="00A44F87" w:rsidRPr="009C6FED" w:rsidRDefault="00A44F87" w:rsidP="00A44F87">
      <w:pPr>
        <w:spacing w:after="0" w:line="240" w:lineRule="auto"/>
        <w:ind w:left="720"/>
        <w:rPr>
          <w:rFonts w:ascii="Calibri" w:eastAsia="Times New Roman" w:hAnsi="Calibri" w:cs="Times New Roman"/>
        </w:rPr>
      </w:pPr>
    </w:p>
    <w:p w:rsidR="00A44F87" w:rsidRPr="009C6FED" w:rsidRDefault="009C6FED" w:rsidP="00A44F87">
      <w:pPr>
        <w:pStyle w:val="ListParagraph"/>
        <w:numPr>
          <w:ilvl w:val="0"/>
          <w:numId w:val="12"/>
        </w:numPr>
        <w:spacing w:after="0" w:line="240" w:lineRule="auto"/>
        <w:rPr>
          <w:rFonts w:ascii="Calibri" w:eastAsia="Times New Roman" w:hAnsi="Calibri" w:cs="Times New Roman"/>
        </w:rPr>
      </w:pPr>
      <w:r w:rsidRPr="009C6FED">
        <w:rPr>
          <w:rFonts w:ascii="Calibri" w:eastAsia="Times New Roman" w:hAnsi="Calibri" w:cs="Times New Roman"/>
        </w:rPr>
        <w:t xml:space="preserve">The committee members agreed that this version of the proposal has significantly improved based on the feedback given to the proposers in </w:t>
      </w:r>
      <w:proofErr w:type="gramStart"/>
      <w:r w:rsidRPr="009C6FED">
        <w:rPr>
          <w:rFonts w:ascii="Calibri" w:eastAsia="Times New Roman" w:hAnsi="Calibri" w:cs="Times New Roman"/>
        </w:rPr>
        <w:t>Spring</w:t>
      </w:r>
      <w:proofErr w:type="gramEnd"/>
      <w:r w:rsidRPr="009C6FED">
        <w:rPr>
          <w:rFonts w:ascii="Calibri" w:eastAsia="Times New Roman" w:hAnsi="Calibri" w:cs="Times New Roman"/>
        </w:rPr>
        <w:t xml:space="preserve"> 2019. </w:t>
      </w:r>
    </w:p>
    <w:p w:rsidR="009C6FED" w:rsidRPr="009C6FED" w:rsidRDefault="009C6FED" w:rsidP="00A44F87">
      <w:pPr>
        <w:pStyle w:val="ListParagraph"/>
        <w:numPr>
          <w:ilvl w:val="0"/>
          <w:numId w:val="12"/>
        </w:numPr>
        <w:spacing w:after="0" w:line="240" w:lineRule="auto"/>
        <w:rPr>
          <w:rFonts w:ascii="Calibri" w:eastAsia="Times New Roman" w:hAnsi="Calibri" w:cs="Times New Roman"/>
        </w:rPr>
      </w:pPr>
      <w:r w:rsidRPr="009C6FED">
        <w:rPr>
          <w:rFonts w:ascii="Calibri" w:eastAsia="Times New Roman" w:hAnsi="Calibri" w:cs="Times New Roman"/>
        </w:rPr>
        <w:t>The updates to the policy will have a positive effect for local students.</w:t>
      </w:r>
    </w:p>
    <w:p w:rsidR="009C6FED" w:rsidRPr="009C6FED" w:rsidRDefault="009C6FED" w:rsidP="00A44F87">
      <w:pPr>
        <w:pStyle w:val="ListParagraph"/>
        <w:numPr>
          <w:ilvl w:val="0"/>
          <w:numId w:val="12"/>
        </w:numPr>
        <w:spacing w:after="0" w:line="240" w:lineRule="auto"/>
        <w:rPr>
          <w:rFonts w:ascii="Calibri" w:eastAsia="Times New Roman" w:hAnsi="Calibri" w:cs="Times New Roman"/>
        </w:rPr>
      </w:pPr>
      <w:r w:rsidRPr="009C6FED">
        <w:rPr>
          <w:rFonts w:ascii="Calibri" w:eastAsia="Times New Roman" w:hAnsi="Calibri" w:cs="Times New Roman"/>
        </w:rPr>
        <w:t>The committee confirmed that pre-approved Study Abroad coursework should not count toward the 18 units of the final 30 units in residence requirement (though Study Abroad units will count toward the GPA and toward academic requirements). Pam Coonan and Alex Underwood will craft proposed language for this policy and provide it to the committee and the proposers for their approval.</w:t>
      </w:r>
    </w:p>
    <w:p w:rsidR="00F00CEE" w:rsidRPr="00FD0C00" w:rsidRDefault="00F00CEE" w:rsidP="00F00CEE">
      <w:pPr>
        <w:spacing w:after="0" w:line="240" w:lineRule="auto"/>
        <w:rPr>
          <w:rFonts w:ascii="Calibri" w:eastAsia="Times New Roman" w:hAnsi="Calibri" w:cs="Times New Roman"/>
          <w:color w:val="FF0000"/>
        </w:rPr>
      </w:pPr>
    </w:p>
    <w:p w:rsidR="00A44F87" w:rsidRPr="00BE5469" w:rsidRDefault="00FD0C00" w:rsidP="00233F98">
      <w:pPr>
        <w:spacing w:after="0" w:line="240" w:lineRule="auto"/>
        <w:ind w:left="720"/>
        <w:rPr>
          <w:rFonts w:ascii="Calibri" w:eastAsia="Times New Roman" w:hAnsi="Calibri" w:cs="Times New Roman"/>
          <w:b/>
        </w:rPr>
      </w:pPr>
      <w:proofErr w:type="spellStart"/>
      <w:r w:rsidRPr="00BE5469">
        <w:rPr>
          <w:rFonts w:ascii="Calibri" w:eastAsia="Times New Roman" w:hAnsi="Calibri" w:cs="Times New Roman"/>
          <w:b/>
        </w:rPr>
        <w:t>Joost</w:t>
      </w:r>
      <w:proofErr w:type="spellEnd"/>
      <w:r w:rsidRPr="00BE5469">
        <w:rPr>
          <w:rFonts w:ascii="Calibri" w:eastAsia="Times New Roman" w:hAnsi="Calibri" w:cs="Times New Roman"/>
          <w:b/>
        </w:rPr>
        <w:t xml:space="preserve"> van </w:t>
      </w:r>
      <w:proofErr w:type="spellStart"/>
      <w:r w:rsidRPr="00BE5469">
        <w:rPr>
          <w:rFonts w:ascii="Calibri" w:eastAsia="Times New Roman" w:hAnsi="Calibri" w:cs="Times New Roman"/>
          <w:b/>
        </w:rPr>
        <w:t>Haren</w:t>
      </w:r>
      <w:proofErr w:type="spellEnd"/>
      <w:r w:rsidR="00233F98" w:rsidRPr="00BE5469">
        <w:rPr>
          <w:rFonts w:ascii="Calibri" w:eastAsia="Times New Roman" w:hAnsi="Calibri" w:cs="Times New Roman"/>
          <w:b/>
        </w:rPr>
        <w:t xml:space="preserve"> moved to</w:t>
      </w:r>
      <w:r w:rsidR="002A668F" w:rsidRPr="00BE5469">
        <w:rPr>
          <w:rFonts w:ascii="Calibri" w:eastAsia="Times New Roman" w:hAnsi="Calibri" w:cs="Times New Roman"/>
          <w:b/>
        </w:rPr>
        <w:t xml:space="preserve"> approve the proposal</w:t>
      </w:r>
      <w:r w:rsidR="001852A5" w:rsidRPr="00BE5469">
        <w:rPr>
          <w:rFonts w:ascii="Calibri" w:eastAsia="Times New Roman" w:hAnsi="Calibri" w:cs="Times New Roman"/>
          <w:b/>
        </w:rPr>
        <w:t xml:space="preserve"> </w:t>
      </w:r>
      <w:r w:rsidR="00BE5469" w:rsidRPr="00BE5469">
        <w:rPr>
          <w:rFonts w:ascii="Calibri" w:eastAsia="Times New Roman" w:hAnsi="Calibri" w:cs="Times New Roman"/>
          <w:b/>
        </w:rPr>
        <w:t>pending updates to the proposed language for the Units in Residence policy</w:t>
      </w:r>
      <w:r w:rsidR="00233F98" w:rsidRPr="00BE5469">
        <w:rPr>
          <w:rFonts w:ascii="Calibri" w:eastAsia="Times New Roman" w:hAnsi="Calibri" w:cs="Times New Roman"/>
          <w:b/>
        </w:rPr>
        <w:t xml:space="preserve">, and </w:t>
      </w:r>
      <w:r w:rsidR="00BE5469" w:rsidRPr="00BE5469">
        <w:rPr>
          <w:rFonts w:ascii="Calibri" w:eastAsia="Times New Roman" w:hAnsi="Calibri" w:cs="Times New Roman"/>
          <w:b/>
        </w:rPr>
        <w:t>David Ortiz</w:t>
      </w:r>
      <w:r w:rsidR="00233F98" w:rsidRPr="00BE5469">
        <w:rPr>
          <w:rFonts w:ascii="Calibri" w:eastAsia="Times New Roman" w:hAnsi="Calibri" w:cs="Times New Roman"/>
          <w:b/>
        </w:rPr>
        <w:t xml:space="preserve"> seconded the motion. </w:t>
      </w:r>
      <w:r w:rsidR="002A668F" w:rsidRPr="00BE5469">
        <w:rPr>
          <w:rFonts w:ascii="Calibri" w:eastAsia="Times New Roman" w:hAnsi="Calibri" w:cs="Times New Roman"/>
          <w:b/>
        </w:rPr>
        <w:t xml:space="preserve"> </w:t>
      </w:r>
      <w:r w:rsidR="00233F98" w:rsidRPr="00BE5469">
        <w:rPr>
          <w:rFonts w:ascii="Calibri" w:eastAsia="Times New Roman" w:hAnsi="Calibri" w:cs="Times New Roman"/>
          <w:b/>
        </w:rPr>
        <w:t xml:space="preserve">The motion </w:t>
      </w:r>
      <w:r w:rsidR="002A668F" w:rsidRPr="00BE5469">
        <w:rPr>
          <w:rFonts w:ascii="Calibri" w:eastAsia="Times New Roman" w:hAnsi="Calibri" w:cs="Times New Roman"/>
          <w:b/>
        </w:rPr>
        <w:t>passed</w:t>
      </w:r>
      <w:r w:rsidR="00BE5469" w:rsidRPr="00BE5469">
        <w:rPr>
          <w:rFonts w:ascii="Calibri" w:eastAsia="Times New Roman" w:hAnsi="Calibri" w:cs="Times New Roman"/>
          <w:b/>
        </w:rPr>
        <w:t xml:space="preserve"> unanimously with 8</w:t>
      </w:r>
      <w:r w:rsidR="00233F98" w:rsidRPr="00BE5469">
        <w:rPr>
          <w:rFonts w:ascii="Calibri" w:eastAsia="Times New Roman" w:hAnsi="Calibri" w:cs="Times New Roman"/>
          <w:b/>
        </w:rPr>
        <w:t xml:space="preserve"> votes in favor. </w:t>
      </w:r>
    </w:p>
    <w:p w:rsidR="00600398" w:rsidRPr="00BE5469" w:rsidRDefault="00600398" w:rsidP="00A44F87">
      <w:pPr>
        <w:spacing w:after="0" w:line="240" w:lineRule="auto"/>
        <w:ind w:left="720"/>
        <w:rPr>
          <w:rFonts w:ascii="Calibri" w:eastAsia="Times New Roman" w:hAnsi="Calibri" w:cs="Times New Roman"/>
          <w:b/>
        </w:rPr>
      </w:pPr>
    </w:p>
    <w:p w:rsidR="00AF2C2A" w:rsidRPr="00BE5469" w:rsidRDefault="00600398" w:rsidP="00F9329E">
      <w:pPr>
        <w:pStyle w:val="ListParagraph"/>
        <w:numPr>
          <w:ilvl w:val="0"/>
          <w:numId w:val="18"/>
        </w:numPr>
        <w:spacing w:after="0" w:line="240" w:lineRule="auto"/>
        <w:ind w:left="720"/>
        <w:rPr>
          <w:rFonts w:ascii="Calibri" w:eastAsia="Times New Roman" w:hAnsi="Calibri" w:cs="Times New Roman"/>
          <w:b/>
        </w:rPr>
      </w:pPr>
      <w:r w:rsidRPr="00BE5469">
        <w:rPr>
          <w:rFonts w:ascii="Calibri" w:eastAsia="Times New Roman" w:hAnsi="Calibri" w:cs="Times New Roman"/>
          <w:b/>
        </w:rPr>
        <w:t xml:space="preserve">Proposal to </w:t>
      </w:r>
      <w:r w:rsidR="00BE5469" w:rsidRPr="00BE5469">
        <w:rPr>
          <w:rFonts w:ascii="Calibri" w:eastAsia="Times New Roman" w:hAnsi="Calibri" w:cs="Times New Roman"/>
          <w:b/>
        </w:rPr>
        <w:t>Accept CESL English Proficiency Test (CEPT) for Admission</w:t>
      </w:r>
      <w:r w:rsidR="00AF2C2A" w:rsidRPr="00BE5469">
        <w:rPr>
          <w:rFonts w:ascii="Calibri" w:eastAsia="Times New Roman" w:hAnsi="Calibri" w:cs="Times New Roman"/>
          <w:b/>
        </w:rPr>
        <w:t xml:space="preserve"> – </w:t>
      </w:r>
      <w:r w:rsidR="00AF2C2A" w:rsidRPr="00BE5469">
        <w:rPr>
          <w:rFonts w:ascii="Calibri" w:eastAsia="Calibri" w:hAnsi="Calibri" w:cs="Times New Roman"/>
        </w:rPr>
        <w:t xml:space="preserve">submitted by </w:t>
      </w:r>
      <w:r w:rsidR="00BE5469" w:rsidRPr="00BE5469">
        <w:rPr>
          <w:rFonts w:ascii="Calibri" w:eastAsia="Calibri" w:hAnsi="Calibri" w:cs="Times New Roman"/>
        </w:rPr>
        <w:t>UA Global</w:t>
      </w:r>
    </w:p>
    <w:p w:rsidR="00AF2C2A" w:rsidRPr="00BE5469" w:rsidRDefault="00AF2C2A" w:rsidP="00AF2C2A">
      <w:pPr>
        <w:spacing w:after="0" w:line="240" w:lineRule="auto"/>
        <w:ind w:left="720"/>
        <w:contextualSpacing/>
        <w:rPr>
          <w:rFonts w:ascii="Calibri" w:eastAsia="Times New Roman" w:hAnsi="Calibri" w:cs="Times New Roman"/>
        </w:rPr>
      </w:pPr>
      <w:r w:rsidRPr="00BE5469">
        <w:rPr>
          <w:rFonts w:ascii="Calibri" w:eastAsia="Times New Roman" w:hAnsi="Calibri" w:cs="Times New Roman"/>
        </w:rPr>
        <w:t>Presenter</w:t>
      </w:r>
      <w:r w:rsidR="00BE5469" w:rsidRPr="00BE5469">
        <w:rPr>
          <w:rFonts w:ascii="Calibri" w:eastAsia="Times New Roman" w:hAnsi="Calibri" w:cs="Times New Roman"/>
        </w:rPr>
        <w:t>s</w:t>
      </w:r>
      <w:r w:rsidRPr="00BE5469">
        <w:rPr>
          <w:rFonts w:ascii="Calibri" w:eastAsia="Times New Roman" w:hAnsi="Calibri" w:cs="Times New Roman"/>
        </w:rPr>
        <w:t xml:space="preserve">: </w:t>
      </w:r>
      <w:r w:rsidR="00BE5469" w:rsidRPr="00BE5469">
        <w:rPr>
          <w:rFonts w:ascii="Calibri" w:eastAsia="Times New Roman" w:hAnsi="Calibri" w:cs="Times New Roman"/>
        </w:rPr>
        <w:t>Suzanne Panferov Reese, Associate Vice President, Global Initiatives; Brent White, Vice Provost, Global Affairs</w:t>
      </w:r>
    </w:p>
    <w:p w:rsidR="00AF2C2A" w:rsidRPr="00FD0C00" w:rsidRDefault="00AF2C2A" w:rsidP="00AF2C2A">
      <w:pPr>
        <w:spacing w:after="0" w:line="240" w:lineRule="auto"/>
        <w:ind w:left="720"/>
        <w:contextualSpacing/>
        <w:rPr>
          <w:rFonts w:ascii="Calibri" w:eastAsia="Times New Roman" w:hAnsi="Calibri" w:cs="Times New Roman"/>
          <w:color w:val="FF0000"/>
        </w:rPr>
      </w:pPr>
    </w:p>
    <w:p w:rsidR="00361BE7" w:rsidRPr="000F576A" w:rsidRDefault="00174737" w:rsidP="00361BE7">
      <w:pPr>
        <w:spacing w:after="0" w:line="240" w:lineRule="auto"/>
        <w:ind w:left="720"/>
        <w:contextualSpacing/>
        <w:rPr>
          <w:rFonts w:ascii="Calibri" w:eastAsia="Times New Roman" w:hAnsi="Calibri" w:cs="Times New Roman"/>
        </w:rPr>
      </w:pPr>
      <w:r w:rsidRPr="000F576A">
        <w:rPr>
          <w:rFonts w:ascii="Calibri" w:eastAsia="Times New Roman" w:hAnsi="Calibri" w:cs="Times New Roman"/>
        </w:rPr>
        <w:t xml:space="preserve">This proposal is to add the CESL English Proficiency Test to the list of </w:t>
      </w:r>
      <w:r w:rsidR="00A75D21" w:rsidRPr="000F576A">
        <w:rPr>
          <w:rFonts w:ascii="Calibri" w:eastAsia="Times New Roman" w:hAnsi="Calibri" w:cs="Times New Roman"/>
        </w:rPr>
        <w:t xml:space="preserve">English language proficiency </w:t>
      </w:r>
      <w:r w:rsidRPr="000F576A">
        <w:rPr>
          <w:rFonts w:ascii="Calibri" w:eastAsia="Times New Roman" w:hAnsi="Calibri" w:cs="Times New Roman"/>
        </w:rPr>
        <w:t xml:space="preserve">exams accepted for </w:t>
      </w:r>
      <w:r w:rsidR="00FE60DB" w:rsidRPr="000F576A">
        <w:rPr>
          <w:rFonts w:ascii="Calibri" w:eastAsia="Times New Roman" w:hAnsi="Calibri" w:cs="Times New Roman"/>
        </w:rPr>
        <w:t>admission.</w:t>
      </w:r>
      <w:r w:rsidR="00A75D21" w:rsidRPr="000F576A">
        <w:rPr>
          <w:rFonts w:ascii="Calibri" w:eastAsia="Times New Roman" w:hAnsi="Calibri" w:cs="Times New Roman"/>
        </w:rPr>
        <w:t xml:space="preserve"> The test was developed by CESL in 2018</w:t>
      </w:r>
      <w:r w:rsidR="00EA304A" w:rsidRPr="000F576A">
        <w:rPr>
          <w:rFonts w:ascii="Calibri" w:eastAsia="Times New Roman" w:hAnsi="Calibri" w:cs="Times New Roman"/>
        </w:rPr>
        <w:t xml:space="preserve"> and has been used by the Graduate College for the past two admission cycles. The CEPT </w:t>
      </w:r>
      <w:r w:rsidR="005C39CD" w:rsidRPr="000F576A">
        <w:rPr>
          <w:rFonts w:ascii="Calibri" w:eastAsia="Times New Roman" w:hAnsi="Calibri" w:cs="Times New Roman"/>
        </w:rPr>
        <w:t>is less expensive to take than other tests currently accepted by the UA</w:t>
      </w:r>
      <w:r w:rsidR="000F576A" w:rsidRPr="000F576A">
        <w:rPr>
          <w:rFonts w:ascii="Calibri" w:eastAsia="Times New Roman" w:hAnsi="Calibri" w:cs="Times New Roman"/>
        </w:rPr>
        <w:t xml:space="preserve">. The </w:t>
      </w:r>
      <w:r w:rsidR="006606EA">
        <w:rPr>
          <w:rFonts w:ascii="Calibri" w:eastAsia="Times New Roman" w:hAnsi="Calibri" w:cs="Times New Roman"/>
        </w:rPr>
        <w:t>CEPT</w:t>
      </w:r>
      <w:r w:rsidR="000F576A" w:rsidRPr="000F576A">
        <w:rPr>
          <w:rFonts w:ascii="Calibri" w:eastAsia="Times New Roman" w:hAnsi="Calibri" w:cs="Times New Roman"/>
        </w:rPr>
        <w:t xml:space="preserve"> is</w:t>
      </w:r>
      <w:r w:rsidR="006606EA">
        <w:rPr>
          <w:rFonts w:ascii="Calibri" w:eastAsia="Times New Roman" w:hAnsi="Calibri" w:cs="Times New Roman"/>
        </w:rPr>
        <w:t xml:space="preserve"> a hybrid test</w:t>
      </w:r>
      <w:r w:rsidR="000F576A" w:rsidRPr="000F576A">
        <w:rPr>
          <w:rFonts w:ascii="Calibri" w:eastAsia="Times New Roman" w:hAnsi="Calibri" w:cs="Times New Roman"/>
        </w:rPr>
        <w:t xml:space="preserve"> administered online using UA </w:t>
      </w:r>
      <w:proofErr w:type="spellStart"/>
      <w:r w:rsidR="000F576A" w:rsidRPr="000F576A">
        <w:rPr>
          <w:rFonts w:ascii="Calibri" w:eastAsia="Times New Roman" w:hAnsi="Calibri" w:cs="Times New Roman"/>
        </w:rPr>
        <w:t>E</w:t>
      </w:r>
      <w:r w:rsidR="006606EA">
        <w:rPr>
          <w:rFonts w:ascii="Calibri" w:eastAsia="Times New Roman" w:hAnsi="Calibri" w:cs="Times New Roman"/>
        </w:rPr>
        <w:t>xamity</w:t>
      </w:r>
      <w:proofErr w:type="spellEnd"/>
      <w:r w:rsidR="006606EA">
        <w:rPr>
          <w:rFonts w:ascii="Calibri" w:eastAsia="Times New Roman" w:hAnsi="Calibri" w:cs="Times New Roman"/>
        </w:rPr>
        <w:t xml:space="preserve">, and includes </w:t>
      </w:r>
      <w:proofErr w:type="spellStart"/>
      <w:r w:rsidR="006606EA">
        <w:rPr>
          <w:rFonts w:ascii="Calibri" w:eastAsia="Times New Roman" w:hAnsi="Calibri" w:cs="Times New Roman"/>
        </w:rPr>
        <w:t>a</w:t>
      </w:r>
      <w:proofErr w:type="spellEnd"/>
      <w:r w:rsidR="006606EA">
        <w:rPr>
          <w:rFonts w:ascii="Calibri" w:eastAsia="Times New Roman" w:hAnsi="Calibri" w:cs="Times New Roman"/>
        </w:rPr>
        <w:t xml:space="preserve"> 15-minute online interview</w:t>
      </w:r>
      <w:r w:rsidR="000F576A" w:rsidRPr="000F576A">
        <w:rPr>
          <w:rFonts w:ascii="Calibri" w:eastAsia="Times New Roman" w:hAnsi="Calibri" w:cs="Times New Roman"/>
        </w:rPr>
        <w:t>.</w:t>
      </w:r>
      <w:r w:rsidR="006606EA">
        <w:rPr>
          <w:rFonts w:ascii="Calibri" w:eastAsia="Times New Roman" w:hAnsi="Calibri" w:cs="Times New Roman"/>
        </w:rPr>
        <w:t xml:space="preserve"> Because it is administered online, candidates can take the test much sooner after registering than is possible for tests required to be administered in person.</w:t>
      </w:r>
      <w:r w:rsidR="000F576A" w:rsidRPr="000F576A">
        <w:rPr>
          <w:rFonts w:ascii="Calibri" w:eastAsia="Times New Roman" w:hAnsi="Calibri" w:cs="Times New Roman"/>
        </w:rPr>
        <w:t xml:space="preserve"> The increased accessibility of the test would make it a good alternative to other tests, and could also be useful for recruiting students more efficiently.</w:t>
      </w:r>
    </w:p>
    <w:p w:rsidR="009A7A1E" w:rsidRPr="006606EA" w:rsidRDefault="009A7A1E" w:rsidP="00175FE2">
      <w:pPr>
        <w:spacing w:after="0" w:line="240" w:lineRule="auto"/>
        <w:contextualSpacing/>
        <w:rPr>
          <w:rFonts w:ascii="Calibri" w:eastAsia="Times New Roman" w:hAnsi="Calibri" w:cs="Times New Roman"/>
        </w:rPr>
      </w:pPr>
    </w:p>
    <w:p w:rsidR="00AF2C2A" w:rsidRPr="006606EA" w:rsidRDefault="00AF2C2A" w:rsidP="00AF2C2A">
      <w:pPr>
        <w:spacing w:after="0" w:line="240" w:lineRule="auto"/>
        <w:ind w:left="720"/>
        <w:contextualSpacing/>
        <w:rPr>
          <w:rFonts w:ascii="Calibri" w:eastAsia="Times New Roman" w:hAnsi="Calibri" w:cs="Times New Roman"/>
        </w:rPr>
      </w:pPr>
      <w:r w:rsidRPr="006606EA">
        <w:rPr>
          <w:rFonts w:ascii="Calibri" w:eastAsia="Times New Roman" w:hAnsi="Calibri" w:cs="Times New Roman"/>
          <w:u w:val="single"/>
        </w:rPr>
        <w:lastRenderedPageBreak/>
        <w:t xml:space="preserve">Discussion </w:t>
      </w:r>
      <w:r w:rsidR="004E0440" w:rsidRPr="006606EA">
        <w:rPr>
          <w:rFonts w:ascii="Calibri" w:eastAsia="Times New Roman" w:hAnsi="Calibri" w:cs="Times New Roman"/>
          <w:u w:val="single"/>
        </w:rPr>
        <w:t>began</w:t>
      </w:r>
      <w:r w:rsidRPr="006606EA">
        <w:rPr>
          <w:rFonts w:ascii="Calibri" w:eastAsia="Times New Roman" w:hAnsi="Calibri" w:cs="Times New Roman"/>
        </w:rPr>
        <w:t>:</w:t>
      </w:r>
    </w:p>
    <w:p w:rsidR="00AF2C2A" w:rsidRPr="006606EA" w:rsidRDefault="000F576A" w:rsidP="00600398">
      <w:pPr>
        <w:pStyle w:val="ListParagraph"/>
        <w:numPr>
          <w:ilvl w:val="0"/>
          <w:numId w:val="12"/>
        </w:numPr>
        <w:spacing w:after="0" w:line="240" w:lineRule="auto"/>
        <w:rPr>
          <w:rFonts w:ascii="Calibri" w:eastAsia="Calibri" w:hAnsi="Calibri" w:cs="Times New Roman"/>
        </w:rPr>
      </w:pPr>
      <w:r w:rsidRPr="006606EA">
        <w:rPr>
          <w:rFonts w:ascii="Calibri" w:eastAsia="Times New Roman" w:hAnsi="Calibri" w:cs="Times New Roman"/>
        </w:rPr>
        <w:t>How do the exam results for the CEPT compare to results for other exams already in use? The Common European Framework of Reference for Languages (CEFR)</w:t>
      </w:r>
      <w:r w:rsidR="00D639E8" w:rsidRPr="006606EA">
        <w:rPr>
          <w:rFonts w:ascii="Calibri" w:eastAsia="Times New Roman" w:hAnsi="Calibri" w:cs="Times New Roman"/>
        </w:rPr>
        <w:t xml:space="preserve"> is the standard that proficiency tests</w:t>
      </w:r>
      <w:r w:rsidRPr="006606EA">
        <w:rPr>
          <w:rFonts w:ascii="Calibri" w:eastAsia="Times New Roman" w:hAnsi="Calibri" w:cs="Times New Roman"/>
        </w:rPr>
        <w:t xml:space="preserve"> </w:t>
      </w:r>
      <w:r w:rsidR="00D639E8" w:rsidRPr="006606EA">
        <w:rPr>
          <w:rFonts w:ascii="Calibri" w:eastAsia="Times New Roman" w:hAnsi="Calibri" w:cs="Times New Roman"/>
        </w:rPr>
        <w:t>are compared to; the CEPT is closely tied to the CEFR. A score comparison chart is included in the proposal to show how CEPT scores relate to CEFR, TOEFL, IELTS, and Pearson PTE Academic scores.</w:t>
      </w:r>
    </w:p>
    <w:p w:rsidR="00D639E8" w:rsidRPr="006606EA" w:rsidRDefault="00D639E8" w:rsidP="00600398">
      <w:pPr>
        <w:pStyle w:val="ListParagraph"/>
        <w:numPr>
          <w:ilvl w:val="0"/>
          <w:numId w:val="12"/>
        </w:numPr>
        <w:spacing w:after="0" w:line="240" w:lineRule="auto"/>
        <w:rPr>
          <w:rFonts w:ascii="Calibri" w:eastAsia="Calibri" w:hAnsi="Calibri" w:cs="Times New Roman"/>
        </w:rPr>
      </w:pPr>
      <w:r w:rsidRPr="006606EA">
        <w:rPr>
          <w:rFonts w:ascii="Calibri" w:eastAsia="Times New Roman" w:hAnsi="Calibri" w:cs="Times New Roman"/>
        </w:rPr>
        <w:t>How does the speaking component compare to other exams? Administered as a</w:t>
      </w:r>
      <w:r w:rsidR="00726A18" w:rsidRPr="006606EA">
        <w:rPr>
          <w:rFonts w:ascii="Calibri" w:eastAsia="Times New Roman" w:hAnsi="Calibri" w:cs="Times New Roman"/>
        </w:rPr>
        <w:t xml:space="preserve"> 15-minute, 1:</w:t>
      </w:r>
      <w:r w:rsidRPr="006606EA">
        <w:rPr>
          <w:rFonts w:ascii="Calibri" w:eastAsia="Times New Roman" w:hAnsi="Calibri" w:cs="Times New Roman"/>
        </w:rPr>
        <w:t>1 online interview, preferable to other exams which place candidates in a room with other candidates to complete the speaking portion using headphones.</w:t>
      </w:r>
    </w:p>
    <w:p w:rsidR="006606EA" w:rsidRPr="006606EA" w:rsidRDefault="006606EA" w:rsidP="00600398">
      <w:pPr>
        <w:pStyle w:val="ListParagraph"/>
        <w:numPr>
          <w:ilvl w:val="0"/>
          <w:numId w:val="12"/>
        </w:numPr>
        <w:spacing w:after="0" w:line="240" w:lineRule="auto"/>
        <w:rPr>
          <w:rFonts w:ascii="Calibri" w:eastAsia="Calibri" w:hAnsi="Calibri" w:cs="Times New Roman"/>
        </w:rPr>
      </w:pPr>
      <w:r w:rsidRPr="006606EA">
        <w:rPr>
          <w:rFonts w:ascii="Calibri" w:eastAsia="Times New Roman" w:hAnsi="Calibri" w:cs="Times New Roman"/>
        </w:rPr>
        <w:t xml:space="preserve">How is cheating prevented? UA </w:t>
      </w:r>
      <w:proofErr w:type="spellStart"/>
      <w:r w:rsidRPr="006606EA">
        <w:rPr>
          <w:rFonts w:ascii="Calibri" w:eastAsia="Times New Roman" w:hAnsi="Calibri" w:cs="Times New Roman"/>
        </w:rPr>
        <w:t>Examity</w:t>
      </w:r>
      <w:proofErr w:type="spellEnd"/>
      <w:r w:rsidRPr="006606EA">
        <w:rPr>
          <w:rFonts w:ascii="Calibri" w:eastAsia="Times New Roman" w:hAnsi="Calibri" w:cs="Times New Roman"/>
        </w:rPr>
        <w:t xml:space="preserve"> provides security for the online test, and test taker identity is verified during the interview portion.</w:t>
      </w:r>
    </w:p>
    <w:p w:rsidR="00726A18" w:rsidRPr="006606EA" w:rsidRDefault="00726A18" w:rsidP="00600398">
      <w:pPr>
        <w:pStyle w:val="ListParagraph"/>
        <w:numPr>
          <w:ilvl w:val="0"/>
          <w:numId w:val="12"/>
        </w:numPr>
        <w:spacing w:after="0" w:line="240" w:lineRule="auto"/>
        <w:rPr>
          <w:rFonts w:ascii="Calibri" w:eastAsia="Calibri" w:hAnsi="Calibri" w:cs="Times New Roman"/>
        </w:rPr>
      </w:pPr>
      <w:r w:rsidRPr="006606EA">
        <w:rPr>
          <w:rFonts w:ascii="Calibri" w:eastAsia="Times New Roman" w:hAnsi="Calibri" w:cs="Times New Roman"/>
        </w:rPr>
        <w:t xml:space="preserve">Is there any way to identify students who may have difficulty keeping up in their courses because of trouble listening in a classroom setting and interpreting accents? The interview </w:t>
      </w:r>
      <w:proofErr w:type="spellStart"/>
      <w:r w:rsidRPr="006606EA">
        <w:rPr>
          <w:rFonts w:ascii="Calibri" w:eastAsia="Times New Roman" w:hAnsi="Calibri" w:cs="Times New Roman"/>
        </w:rPr>
        <w:t>subscore</w:t>
      </w:r>
      <w:proofErr w:type="spellEnd"/>
      <w:r w:rsidRPr="006606EA">
        <w:rPr>
          <w:rFonts w:ascii="Calibri" w:eastAsia="Times New Roman" w:hAnsi="Calibri" w:cs="Times New Roman"/>
        </w:rPr>
        <w:t xml:space="preserve"> of the CEPT could help identify those possible issues if desired, so those students could be directed to additional resources when they come to the UA.</w:t>
      </w:r>
    </w:p>
    <w:p w:rsidR="00726A18" w:rsidRPr="006606EA" w:rsidRDefault="00726A18" w:rsidP="00600398">
      <w:pPr>
        <w:pStyle w:val="ListParagraph"/>
        <w:numPr>
          <w:ilvl w:val="0"/>
          <w:numId w:val="12"/>
        </w:numPr>
        <w:spacing w:after="0" w:line="240" w:lineRule="auto"/>
        <w:rPr>
          <w:rFonts w:ascii="Calibri" w:eastAsia="Calibri" w:hAnsi="Calibri" w:cs="Times New Roman"/>
        </w:rPr>
      </w:pPr>
      <w:r w:rsidRPr="006606EA">
        <w:rPr>
          <w:rFonts w:ascii="Calibri" w:eastAsia="Times New Roman" w:hAnsi="Calibri" w:cs="Times New Roman"/>
        </w:rPr>
        <w:t>Would specific scores be required for acceptance? Specific score ranges have been identified that correlate to ranges currently accepted for other exams, but individual academic units would be able to specify other score requirements as they deem appropriate for their field.</w:t>
      </w:r>
    </w:p>
    <w:p w:rsidR="00726A18" w:rsidRPr="006606EA" w:rsidRDefault="00726A18" w:rsidP="00600398">
      <w:pPr>
        <w:pStyle w:val="ListParagraph"/>
        <w:numPr>
          <w:ilvl w:val="0"/>
          <w:numId w:val="12"/>
        </w:numPr>
        <w:spacing w:after="0" w:line="240" w:lineRule="auto"/>
        <w:rPr>
          <w:rFonts w:ascii="Calibri" w:eastAsia="Calibri" w:hAnsi="Calibri" w:cs="Times New Roman"/>
        </w:rPr>
      </w:pPr>
      <w:r w:rsidRPr="006606EA">
        <w:rPr>
          <w:rFonts w:ascii="Calibri" w:eastAsia="Times New Roman" w:hAnsi="Calibri" w:cs="Times New Roman"/>
        </w:rPr>
        <w:t xml:space="preserve">Will the score ranges be fine-tuned as CESL accumulates more data </w:t>
      </w:r>
      <w:r w:rsidR="006606EA" w:rsidRPr="006606EA">
        <w:rPr>
          <w:rFonts w:ascii="Calibri" w:eastAsia="Times New Roman" w:hAnsi="Calibri" w:cs="Times New Roman"/>
        </w:rPr>
        <w:t>so academic units can determine the best score requirements</w:t>
      </w:r>
      <w:r w:rsidRPr="006606EA">
        <w:rPr>
          <w:rFonts w:ascii="Calibri" w:eastAsia="Times New Roman" w:hAnsi="Calibri" w:cs="Times New Roman"/>
        </w:rPr>
        <w:t>?</w:t>
      </w:r>
      <w:r w:rsidR="006606EA" w:rsidRPr="006606EA">
        <w:rPr>
          <w:rFonts w:ascii="Calibri" w:eastAsia="Times New Roman" w:hAnsi="Calibri" w:cs="Times New Roman"/>
        </w:rPr>
        <w:t xml:space="preserve"> CESL can assist academic units in this process if their score requirements for existing exams aren’t directly reflected on the score comparison chart on the proposal.</w:t>
      </w:r>
    </w:p>
    <w:p w:rsidR="00174737" w:rsidRDefault="00174737" w:rsidP="00174737">
      <w:pPr>
        <w:spacing w:after="0" w:line="240" w:lineRule="auto"/>
        <w:rPr>
          <w:rFonts w:ascii="Calibri" w:eastAsia="Calibri" w:hAnsi="Calibri" w:cs="Times New Roman"/>
          <w:color w:val="FF0000"/>
        </w:rPr>
      </w:pPr>
    </w:p>
    <w:p w:rsidR="00174737" w:rsidRPr="00174737" w:rsidRDefault="00174737" w:rsidP="00174737">
      <w:pPr>
        <w:spacing w:after="0" w:line="240" w:lineRule="auto"/>
        <w:ind w:left="720"/>
        <w:rPr>
          <w:rFonts w:ascii="Calibri" w:eastAsia="Times New Roman" w:hAnsi="Calibri" w:cs="Times New Roman"/>
        </w:rPr>
      </w:pPr>
      <w:r w:rsidRPr="00174737">
        <w:rPr>
          <w:rFonts w:ascii="Calibri" w:eastAsia="Times New Roman" w:hAnsi="Calibri" w:cs="Times New Roman"/>
        </w:rPr>
        <w:t>Since there were no further questions, the presenter</w:t>
      </w:r>
      <w:r>
        <w:rPr>
          <w:rFonts w:ascii="Calibri" w:eastAsia="Times New Roman" w:hAnsi="Calibri" w:cs="Times New Roman"/>
        </w:rPr>
        <w:t>s</w:t>
      </w:r>
      <w:r w:rsidRPr="00174737">
        <w:rPr>
          <w:rFonts w:ascii="Calibri" w:eastAsia="Times New Roman" w:hAnsi="Calibri" w:cs="Times New Roman"/>
        </w:rPr>
        <w:t xml:space="preserve"> left at this time.  Discussion continued:</w:t>
      </w:r>
    </w:p>
    <w:p w:rsidR="00174737" w:rsidRPr="00FD0C00" w:rsidRDefault="00174737" w:rsidP="00174737">
      <w:pPr>
        <w:spacing w:after="0" w:line="240" w:lineRule="auto"/>
        <w:ind w:left="720"/>
        <w:rPr>
          <w:rFonts w:ascii="Calibri" w:eastAsia="Times New Roman" w:hAnsi="Calibri" w:cs="Times New Roman"/>
          <w:color w:val="FF0000"/>
        </w:rPr>
      </w:pPr>
    </w:p>
    <w:p w:rsidR="00174737" w:rsidRPr="00775512" w:rsidRDefault="00FE60DB" w:rsidP="00174737">
      <w:pPr>
        <w:pStyle w:val="ListParagraph"/>
        <w:numPr>
          <w:ilvl w:val="0"/>
          <w:numId w:val="12"/>
        </w:numPr>
        <w:spacing w:after="0" w:line="240" w:lineRule="auto"/>
        <w:rPr>
          <w:rFonts w:ascii="Calibri" w:eastAsia="Times New Roman" w:hAnsi="Calibri" w:cs="Times New Roman"/>
        </w:rPr>
      </w:pPr>
      <w:r w:rsidRPr="00775512">
        <w:rPr>
          <w:rFonts w:ascii="Calibri" w:eastAsia="Times New Roman" w:hAnsi="Calibri" w:cs="Times New Roman"/>
        </w:rPr>
        <w:t xml:space="preserve">CAAC is already aware and supportive of this proposal. </w:t>
      </w:r>
    </w:p>
    <w:p w:rsidR="00FE60DB" w:rsidRPr="00775512" w:rsidRDefault="00775512" w:rsidP="00174737">
      <w:pPr>
        <w:pStyle w:val="ListParagraph"/>
        <w:numPr>
          <w:ilvl w:val="0"/>
          <w:numId w:val="12"/>
        </w:numPr>
        <w:spacing w:after="0" w:line="240" w:lineRule="auto"/>
        <w:rPr>
          <w:rFonts w:ascii="Calibri" w:eastAsia="Times New Roman" w:hAnsi="Calibri" w:cs="Times New Roman"/>
        </w:rPr>
      </w:pPr>
      <w:r w:rsidRPr="00775512">
        <w:rPr>
          <w:rFonts w:ascii="Calibri" w:eastAsia="Times New Roman" w:hAnsi="Calibri" w:cs="Times New Roman"/>
        </w:rPr>
        <w:t xml:space="preserve">It’s beneficial that </w:t>
      </w:r>
      <w:r w:rsidR="00FE60DB" w:rsidRPr="00775512">
        <w:rPr>
          <w:rFonts w:ascii="Calibri" w:eastAsia="Times New Roman" w:hAnsi="Calibri" w:cs="Times New Roman"/>
        </w:rPr>
        <w:t>students will be able to get their results faster</w:t>
      </w:r>
      <w:r w:rsidRPr="00775512">
        <w:rPr>
          <w:rFonts w:ascii="Calibri" w:eastAsia="Times New Roman" w:hAnsi="Calibri" w:cs="Times New Roman"/>
        </w:rPr>
        <w:t xml:space="preserve"> and</w:t>
      </w:r>
      <w:r w:rsidR="00FE60DB" w:rsidRPr="00775512">
        <w:rPr>
          <w:rFonts w:ascii="Calibri" w:eastAsia="Times New Roman" w:hAnsi="Calibri" w:cs="Times New Roman"/>
        </w:rPr>
        <w:t xml:space="preserve"> will need to spend less </w:t>
      </w:r>
      <w:r w:rsidRPr="00775512">
        <w:rPr>
          <w:rFonts w:ascii="Calibri" w:eastAsia="Times New Roman" w:hAnsi="Calibri" w:cs="Times New Roman"/>
        </w:rPr>
        <w:t xml:space="preserve">money </w:t>
      </w:r>
      <w:r w:rsidR="00FE60DB" w:rsidRPr="00775512">
        <w:rPr>
          <w:rFonts w:ascii="Calibri" w:eastAsia="Times New Roman" w:hAnsi="Calibri" w:cs="Times New Roman"/>
        </w:rPr>
        <w:t xml:space="preserve">to take </w:t>
      </w:r>
      <w:r w:rsidRPr="00775512">
        <w:rPr>
          <w:rFonts w:ascii="Calibri" w:eastAsia="Times New Roman" w:hAnsi="Calibri" w:cs="Times New Roman"/>
        </w:rPr>
        <w:t>the test.</w:t>
      </w:r>
    </w:p>
    <w:p w:rsidR="00775512" w:rsidRPr="00775512" w:rsidRDefault="00775512" w:rsidP="00174737">
      <w:pPr>
        <w:pStyle w:val="ListParagraph"/>
        <w:numPr>
          <w:ilvl w:val="0"/>
          <w:numId w:val="12"/>
        </w:numPr>
        <w:spacing w:after="0" w:line="240" w:lineRule="auto"/>
        <w:rPr>
          <w:rFonts w:ascii="Calibri" w:eastAsia="Times New Roman" w:hAnsi="Calibri" w:cs="Times New Roman"/>
        </w:rPr>
      </w:pPr>
      <w:r w:rsidRPr="00775512">
        <w:rPr>
          <w:rFonts w:ascii="Calibri" w:eastAsia="Times New Roman" w:hAnsi="Calibri" w:cs="Times New Roman"/>
        </w:rPr>
        <w:t>Since the test is owned by the UA, if any issues arise in the future it will be possible to update the test directly rather than waiting for an outside vendor to update the test.</w:t>
      </w:r>
    </w:p>
    <w:p w:rsidR="00775512" w:rsidRPr="00775512" w:rsidRDefault="00775512" w:rsidP="00174737">
      <w:pPr>
        <w:pStyle w:val="ListParagraph"/>
        <w:numPr>
          <w:ilvl w:val="0"/>
          <w:numId w:val="12"/>
        </w:numPr>
        <w:spacing w:after="0" w:line="240" w:lineRule="auto"/>
        <w:rPr>
          <w:rFonts w:ascii="Calibri" w:eastAsia="Times New Roman" w:hAnsi="Calibri" w:cs="Times New Roman"/>
        </w:rPr>
      </w:pPr>
      <w:r w:rsidRPr="00775512">
        <w:rPr>
          <w:rFonts w:ascii="Calibri" w:eastAsia="Times New Roman" w:hAnsi="Calibri" w:cs="Times New Roman"/>
        </w:rPr>
        <w:t>Students will not be required to use the CEPT; it will simply be an additional option for determining proficiency.</w:t>
      </w:r>
    </w:p>
    <w:p w:rsidR="00682639" w:rsidRPr="00775512" w:rsidRDefault="00682639" w:rsidP="00775512">
      <w:pPr>
        <w:spacing w:after="0" w:line="240" w:lineRule="auto"/>
        <w:rPr>
          <w:rFonts w:ascii="Calibri" w:eastAsia="Calibri" w:hAnsi="Calibri" w:cs="Times New Roman"/>
          <w:color w:val="FF0000"/>
        </w:rPr>
      </w:pPr>
    </w:p>
    <w:p w:rsidR="00682639" w:rsidRPr="00BE5469" w:rsidRDefault="00BE5469" w:rsidP="00682639">
      <w:pPr>
        <w:spacing w:after="0" w:line="240" w:lineRule="auto"/>
        <w:ind w:left="720"/>
        <w:rPr>
          <w:rFonts w:ascii="Calibri" w:eastAsia="Times New Roman" w:hAnsi="Calibri" w:cs="Times New Roman"/>
          <w:b/>
        </w:rPr>
      </w:pPr>
      <w:r w:rsidRPr="00BE5469">
        <w:rPr>
          <w:rFonts w:ascii="Calibri" w:eastAsia="Times New Roman" w:hAnsi="Calibri" w:cs="Times New Roman"/>
          <w:b/>
        </w:rPr>
        <w:t>Anthony Sanchez</w:t>
      </w:r>
      <w:r w:rsidR="00682639" w:rsidRPr="00BE5469">
        <w:rPr>
          <w:rFonts w:ascii="Calibri" w:eastAsia="Times New Roman" w:hAnsi="Calibri" w:cs="Times New Roman"/>
          <w:b/>
        </w:rPr>
        <w:t xml:space="preserve"> moved to accept the proposal</w:t>
      </w:r>
      <w:r w:rsidR="00E06022" w:rsidRPr="00BE5469">
        <w:rPr>
          <w:rFonts w:ascii="Calibri" w:eastAsia="Times New Roman" w:hAnsi="Calibri" w:cs="Times New Roman"/>
          <w:b/>
        </w:rPr>
        <w:t xml:space="preserve"> to </w:t>
      </w:r>
      <w:r w:rsidRPr="00BE5469">
        <w:rPr>
          <w:rFonts w:ascii="Calibri" w:eastAsia="Times New Roman" w:hAnsi="Calibri" w:cs="Times New Roman"/>
          <w:b/>
        </w:rPr>
        <w:t>accept the CESL English Proficiency Test for admission</w:t>
      </w:r>
      <w:r w:rsidR="00682639" w:rsidRPr="00BE5469">
        <w:rPr>
          <w:rFonts w:ascii="Calibri" w:eastAsia="Times New Roman" w:hAnsi="Calibri" w:cs="Times New Roman"/>
          <w:b/>
        </w:rPr>
        <w:t xml:space="preserve">, </w:t>
      </w:r>
      <w:r w:rsidR="00E06022" w:rsidRPr="00BE5469">
        <w:rPr>
          <w:rFonts w:ascii="Calibri" w:eastAsia="Times New Roman" w:hAnsi="Calibri" w:cs="Times New Roman"/>
          <w:b/>
        </w:rPr>
        <w:t xml:space="preserve">and </w:t>
      </w:r>
      <w:r w:rsidRPr="00BE5469">
        <w:rPr>
          <w:rFonts w:ascii="Calibri" w:eastAsia="Times New Roman" w:hAnsi="Calibri" w:cs="Times New Roman"/>
          <w:b/>
        </w:rPr>
        <w:t>Leslie Dennis</w:t>
      </w:r>
      <w:r w:rsidR="00682639" w:rsidRPr="00BE5469">
        <w:rPr>
          <w:rFonts w:ascii="Calibri" w:eastAsia="Times New Roman" w:hAnsi="Calibri" w:cs="Times New Roman"/>
          <w:b/>
        </w:rPr>
        <w:t xml:space="preserve"> seconded the motion. </w:t>
      </w:r>
      <w:r w:rsidR="00E06022" w:rsidRPr="00BE5469">
        <w:rPr>
          <w:rFonts w:ascii="Calibri" w:eastAsia="Times New Roman" w:hAnsi="Calibri" w:cs="Times New Roman"/>
          <w:b/>
        </w:rPr>
        <w:t xml:space="preserve"> </w:t>
      </w:r>
      <w:r w:rsidR="00682639" w:rsidRPr="00BE5469">
        <w:rPr>
          <w:rFonts w:ascii="Calibri" w:eastAsia="Times New Roman" w:hAnsi="Calibri" w:cs="Times New Roman"/>
          <w:b/>
        </w:rPr>
        <w:t>The motion was approved u</w:t>
      </w:r>
      <w:r w:rsidR="00C3392E" w:rsidRPr="00BE5469">
        <w:rPr>
          <w:rFonts w:ascii="Calibri" w:eastAsia="Times New Roman" w:hAnsi="Calibri" w:cs="Times New Roman"/>
          <w:b/>
        </w:rPr>
        <w:t>nanimously</w:t>
      </w:r>
      <w:r w:rsidRPr="00BE5469">
        <w:rPr>
          <w:rFonts w:ascii="Calibri" w:eastAsia="Times New Roman" w:hAnsi="Calibri" w:cs="Times New Roman"/>
          <w:b/>
        </w:rPr>
        <w:t xml:space="preserve"> with 8 votes in favor</w:t>
      </w:r>
      <w:r w:rsidR="00682639" w:rsidRPr="00BE5469">
        <w:rPr>
          <w:rFonts w:ascii="Calibri" w:eastAsia="Times New Roman" w:hAnsi="Calibri" w:cs="Times New Roman"/>
          <w:b/>
        </w:rPr>
        <w:t xml:space="preserve">. </w:t>
      </w:r>
    </w:p>
    <w:p w:rsidR="00600398" w:rsidRDefault="00600398" w:rsidP="00600398">
      <w:pPr>
        <w:pStyle w:val="ListParagraph"/>
        <w:spacing w:after="0" w:line="240" w:lineRule="auto"/>
        <w:ind w:left="1080"/>
        <w:rPr>
          <w:rFonts w:ascii="Calibri" w:eastAsia="Calibri" w:hAnsi="Calibri" w:cs="Times New Roman"/>
          <w:color w:val="FF0000"/>
        </w:rPr>
      </w:pPr>
    </w:p>
    <w:p w:rsidR="00775512" w:rsidRPr="00FD0C00" w:rsidRDefault="00775512" w:rsidP="00600398">
      <w:pPr>
        <w:pStyle w:val="ListParagraph"/>
        <w:spacing w:after="0" w:line="240" w:lineRule="auto"/>
        <w:ind w:left="1080"/>
        <w:rPr>
          <w:rFonts w:ascii="Calibri" w:eastAsia="Calibri" w:hAnsi="Calibri" w:cs="Times New Roman"/>
          <w:color w:val="FF0000"/>
        </w:rPr>
      </w:pPr>
    </w:p>
    <w:p w:rsidR="00AF2C2A" w:rsidRPr="00BE5469" w:rsidRDefault="008476CA" w:rsidP="008476CA">
      <w:pPr>
        <w:spacing w:after="0" w:line="240" w:lineRule="auto"/>
        <w:contextualSpacing/>
        <w:rPr>
          <w:rFonts w:ascii="Calibri" w:eastAsia="Calibri" w:hAnsi="Calibri" w:cs="Times New Roman"/>
        </w:rPr>
      </w:pPr>
      <w:r w:rsidRPr="00BE5469">
        <w:rPr>
          <w:rFonts w:ascii="Calibri" w:eastAsia="Times New Roman" w:hAnsi="Calibri" w:cs="Times New Roman"/>
        </w:rPr>
        <w:t xml:space="preserve">Claudia adjourned the meeting at </w:t>
      </w:r>
      <w:r w:rsidR="00BE5469" w:rsidRPr="00BE5469">
        <w:rPr>
          <w:rFonts w:ascii="Calibri" w:eastAsia="Times New Roman" w:hAnsi="Calibri" w:cs="Times New Roman"/>
        </w:rPr>
        <w:t>5</w:t>
      </w:r>
      <w:r w:rsidRPr="00BE5469">
        <w:rPr>
          <w:rFonts w:ascii="Calibri" w:eastAsia="Times New Roman" w:hAnsi="Calibri" w:cs="Times New Roman"/>
        </w:rPr>
        <w:t>:</w:t>
      </w:r>
      <w:r w:rsidR="00BE5469" w:rsidRPr="00BE5469">
        <w:rPr>
          <w:rFonts w:ascii="Calibri" w:eastAsia="Times New Roman" w:hAnsi="Calibri" w:cs="Times New Roman"/>
        </w:rPr>
        <w:t>0</w:t>
      </w:r>
      <w:r w:rsidRPr="00BE5469">
        <w:rPr>
          <w:rFonts w:ascii="Calibri" w:eastAsia="Times New Roman" w:hAnsi="Calibri" w:cs="Times New Roman"/>
        </w:rPr>
        <w:t xml:space="preserve">0 p.m.   The next Subcommittee meeting will be on </w:t>
      </w:r>
      <w:r w:rsidR="00BE5469" w:rsidRPr="00BE5469">
        <w:rPr>
          <w:rFonts w:ascii="Calibri" w:eastAsia="Times New Roman" w:hAnsi="Calibri" w:cs="Times New Roman"/>
        </w:rPr>
        <w:t>September 24, 2019</w:t>
      </w:r>
      <w:r w:rsidRPr="00BE5469">
        <w:rPr>
          <w:rFonts w:ascii="Calibri" w:eastAsia="Times New Roman" w:hAnsi="Calibri" w:cs="Times New Roman"/>
        </w:rPr>
        <w:t>.</w:t>
      </w:r>
    </w:p>
    <w:p w:rsidR="003E275A" w:rsidRPr="00BE5469" w:rsidRDefault="003E275A" w:rsidP="003E275A">
      <w:pPr>
        <w:spacing w:after="0" w:line="240" w:lineRule="auto"/>
        <w:rPr>
          <w:rFonts w:ascii="Calibri" w:eastAsia="Times New Roman" w:hAnsi="Calibri" w:cs="Times New Roman"/>
          <w:i/>
        </w:rPr>
      </w:pPr>
    </w:p>
    <w:p w:rsidR="008C3F57" w:rsidRPr="00BE5469" w:rsidRDefault="003E275A" w:rsidP="00C3392E">
      <w:pPr>
        <w:spacing w:after="0" w:line="240" w:lineRule="auto"/>
      </w:pPr>
      <w:r w:rsidRPr="00BE5469">
        <w:rPr>
          <w:rFonts w:ascii="Calibri" w:eastAsia="Times New Roman" w:hAnsi="Calibri" w:cs="Times New Roman"/>
          <w:i/>
        </w:rPr>
        <w:t>Respectf</w:t>
      </w:r>
      <w:r w:rsidR="00C13676" w:rsidRPr="00BE5469">
        <w:rPr>
          <w:rFonts w:ascii="Calibri" w:eastAsia="Times New Roman" w:hAnsi="Calibri" w:cs="Times New Roman"/>
          <w:i/>
        </w:rPr>
        <w:t xml:space="preserve">ully Submitted </w:t>
      </w:r>
      <w:r w:rsidR="008476CA" w:rsidRPr="00BE5469">
        <w:rPr>
          <w:rFonts w:ascii="Calibri" w:eastAsia="Times New Roman" w:hAnsi="Calibri" w:cs="Times New Roman"/>
          <w:i/>
        </w:rPr>
        <w:t xml:space="preserve">by </w:t>
      </w:r>
      <w:r w:rsidR="00BE5469" w:rsidRPr="00BE5469">
        <w:rPr>
          <w:rFonts w:ascii="Calibri" w:eastAsia="Times New Roman" w:hAnsi="Calibri" w:cs="Times New Roman"/>
          <w:i/>
        </w:rPr>
        <w:t>Abbie Sorg</w:t>
      </w:r>
      <w:r w:rsidR="008476CA" w:rsidRPr="00BE5469">
        <w:rPr>
          <w:rFonts w:ascii="Calibri" w:eastAsia="Times New Roman" w:hAnsi="Calibri" w:cs="Times New Roman"/>
          <w:i/>
        </w:rPr>
        <w:t xml:space="preserve">, </w:t>
      </w:r>
      <w:r w:rsidR="00BE5469" w:rsidRPr="00BE5469">
        <w:rPr>
          <w:rFonts w:ascii="Calibri" w:eastAsia="Times New Roman" w:hAnsi="Calibri" w:cs="Times New Roman"/>
          <w:i/>
        </w:rPr>
        <w:t>9/</w:t>
      </w:r>
      <w:r w:rsidR="00775512">
        <w:rPr>
          <w:rFonts w:ascii="Calibri" w:eastAsia="Times New Roman" w:hAnsi="Calibri" w:cs="Times New Roman"/>
          <w:i/>
        </w:rPr>
        <w:t>6</w:t>
      </w:r>
      <w:r w:rsidR="00BE5469" w:rsidRPr="00BE5469">
        <w:rPr>
          <w:rFonts w:ascii="Calibri" w:eastAsia="Times New Roman" w:hAnsi="Calibri" w:cs="Times New Roman"/>
          <w:i/>
        </w:rPr>
        <w:t>/19</w:t>
      </w:r>
    </w:p>
    <w:sectPr w:rsidR="008C3F57" w:rsidRPr="00BE5469" w:rsidSect="000E589D">
      <w:headerReference w:type="default" r:id="rId8"/>
      <w:pgSz w:w="12240" w:h="15840"/>
      <w:pgMar w:top="1008" w:right="1152"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BC1" w:rsidRDefault="00F74BC1" w:rsidP="000E589D">
      <w:pPr>
        <w:spacing w:after="0" w:line="240" w:lineRule="auto"/>
      </w:pPr>
      <w:r>
        <w:separator/>
      </w:r>
    </w:p>
  </w:endnote>
  <w:endnote w:type="continuationSeparator" w:id="0">
    <w:p w:rsidR="00F74BC1" w:rsidRDefault="00F74BC1" w:rsidP="000E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BC1" w:rsidRDefault="00F74BC1" w:rsidP="000E589D">
      <w:pPr>
        <w:spacing w:after="0" w:line="240" w:lineRule="auto"/>
      </w:pPr>
      <w:r>
        <w:separator/>
      </w:r>
    </w:p>
  </w:footnote>
  <w:footnote w:type="continuationSeparator" w:id="0">
    <w:p w:rsidR="00F74BC1" w:rsidRDefault="00F74BC1" w:rsidP="000E5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015092"/>
      <w:docPartObj>
        <w:docPartGallery w:val="Page Numbers (Top of Page)"/>
        <w:docPartUnique/>
      </w:docPartObj>
    </w:sdtPr>
    <w:sdtEndPr>
      <w:rPr>
        <w:noProof/>
      </w:rPr>
    </w:sdtEndPr>
    <w:sdtContent>
      <w:p w:rsidR="00F74BC1" w:rsidRDefault="00F74BC1">
        <w:pPr>
          <w:pStyle w:val="Header"/>
          <w:jc w:val="right"/>
        </w:pPr>
        <w:r>
          <w:fldChar w:fldCharType="begin"/>
        </w:r>
        <w:r>
          <w:instrText xml:space="preserve"> PAGE   \* MERGEFORMAT </w:instrText>
        </w:r>
        <w:r>
          <w:fldChar w:fldCharType="separate"/>
        </w:r>
        <w:r w:rsidR="009C6FED">
          <w:rPr>
            <w:noProof/>
          </w:rPr>
          <w:t>2</w:t>
        </w:r>
        <w:r>
          <w:rPr>
            <w:noProof/>
          </w:rPr>
          <w:fldChar w:fldCharType="end"/>
        </w:r>
      </w:p>
    </w:sdtContent>
  </w:sdt>
  <w:p w:rsidR="00F74BC1" w:rsidRDefault="00F74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868"/>
    <w:multiLevelType w:val="hybridMultilevel"/>
    <w:tmpl w:val="634A99B6"/>
    <w:lvl w:ilvl="0" w:tplc="0D74796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0407C8"/>
    <w:multiLevelType w:val="hybridMultilevel"/>
    <w:tmpl w:val="7974CE2E"/>
    <w:lvl w:ilvl="0" w:tplc="3C669718">
      <w:start w:val="2"/>
      <w:numFmt w:val="upp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13B"/>
    <w:multiLevelType w:val="hybridMultilevel"/>
    <w:tmpl w:val="2FE27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526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344DEE"/>
    <w:multiLevelType w:val="hybridMultilevel"/>
    <w:tmpl w:val="77D6AA3A"/>
    <w:lvl w:ilvl="0" w:tplc="62ACF78C">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64E3E22"/>
    <w:multiLevelType w:val="hybridMultilevel"/>
    <w:tmpl w:val="244CD324"/>
    <w:lvl w:ilvl="0" w:tplc="9334CB7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6A4026"/>
    <w:multiLevelType w:val="hybridMultilevel"/>
    <w:tmpl w:val="43789D2E"/>
    <w:lvl w:ilvl="0" w:tplc="18B640E6">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9A67BA8"/>
    <w:multiLevelType w:val="hybridMultilevel"/>
    <w:tmpl w:val="75C68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9D05EE"/>
    <w:multiLevelType w:val="hybridMultilevel"/>
    <w:tmpl w:val="E3BC59A2"/>
    <w:lvl w:ilvl="0" w:tplc="F150286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276201"/>
    <w:multiLevelType w:val="hybridMultilevel"/>
    <w:tmpl w:val="9F68C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982DE6"/>
    <w:multiLevelType w:val="hybridMultilevel"/>
    <w:tmpl w:val="D97893DE"/>
    <w:lvl w:ilvl="0" w:tplc="84D6A14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9DD71E7"/>
    <w:multiLevelType w:val="hybridMultilevel"/>
    <w:tmpl w:val="9578881E"/>
    <w:lvl w:ilvl="0" w:tplc="04090017">
      <w:start w:val="1"/>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55765A50"/>
    <w:multiLevelType w:val="hybridMultilevel"/>
    <w:tmpl w:val="4BA21F0A"/>
    <w:lvl w:ilvl="0" w:tplc="42BEFB40">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EFF31FE"/>
    <w:multiLevelType w:val="hybridMultilevel"/>
    <w:tmpl w:val="A1105AA4"/>
    <w:lvl w:ilvl="0" w:tplc="4D9E29E0">
      <w:start w:val="1"/>
      <w:numFmt w:val="decimal"/>
      <w:lvlText w:val="%1)"/>
      <w:lvlJc w:val="left"/>
      <w:pPr>
        <w:ind w:left="630" w:hanging="360"/>
      </w:pPr>
      <w:rPr>
        <w:rFonts w:hint="default"/>
        <w:b w:val="0"/>
      </w:rPr>
    </w:lvl>
    <w:lvl w:ilvl="1" w:tplc="04090015">
      <w:start w:val="1"/>
      <w:numFmt w:val="upperLetter"/>
      <w:lvlText w:val="%2."/>
      <w:lvlJc w:val="left"/>
      <w:pPr>
        <w:ind w:left="1350" w:hanging="360"/>
      </w:pPr>
      <w:rPr>
        <w:b/>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01F22DD"/>
    <w:multiLevelType w:val="hybridMultilevel"/>
    <w:tmpl w:val="916A0E44"/>
    <w:lvl w:ilvl="0" w:tplc="2AC05D8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A2D527E"/>
    <w:multiLevelType w:val="hybridMultilevel"/>
    <w:tmpl w:val="8A62402E"/>
    <w:lvl w:ilvl="0" w:tplc="F66C1A3A">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0"/>
  </w:num>
  <w:num w:numId="8">
    <w:abstractNumId w:val="12"/>
  </w:num>
  <w:num w:numId="9">
    <w:abstractNumId w:val="13"/>
  </w:num>
  <w:num w:numId="10">
    <w:abstractNumId w:val="5"/>
  </w:num>
  <w:num w:numId="11">
    <w:abstractNumId w:val="11"/>
  </w:num>
  <w:num w:numId="12">
    <w:abstractNumId w:val="14"/>
  </w:num>
  <w:num w:numId="13">
    <w:abstractNumId w:val="8"/>
  </w:num>
  <w:num w:numId="14">
    <w:abstractNumId w:val="2"/>
  </w:num>
  <w:num w:numId="15">
    <w:abstractNumId w:val="7"/>
  </w:num>
  <w:num w:numId="16">
    <w:abstractNumId w:val="0"/>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5A"/>
    <w:rsid w:val="00032E39"/>
    <w:rsid w:val="00033511"/>
    <w:rsid w:val="00034076"/>
    <w:rsid w:val="00051D5B"/>
    <w:rsid w:val="00074353"/>
    <w:rsid w:val="00086B12"/>
    <w:rsid w:val="000B2CE4"/>
    <w:rsid w:val="000C1126"/>
    <w:rsid w:val="000C6224"/>
    <w:rsid w:val="000E589D"/>
    <w:rsid w:val="000F576A"/>
    <w:rsid w:val="00103239"/>
    <w:rsid w:val="001116A5"/>
    <w:rsid w:val="00116636"/>
    <w:rsid w:val="00121735"/>
    <w:rsid w:val="0014292F"/>
    <w:rsid w:val="001478F2"/>
    <w:rsid w:val="00174737"/>
    <w:rsid w:val="00175FE2"/>
    <w:rsid w:val="0017737C"/>
    <w:rsid w:val="001852A5"/>
    <w:rsid w:val="00194991"/>
    <w:rsid w:val="001A1AAC"/>
    <w:rsid w:val="001A397B"/>
    <w:rsid w:val="001F18BC"/>
    <w:rsid w:val="002020B4"/>
    <w:rsid w:val="00204264"/>
    <w:rsid w:val="0022515D"/>
    <w:rsid w:val="00225869"/>
    <w:rsid w:val="00233F98"/>
    <w:rsid w:val="00251727"/>
    <w:rsid w:val="00263BBE"/>
    <w:rsid w:val="002731E7"/>
    <w:rsid w:val="00286AD8"/>
    <w:rsid w:val="00287732"/>
    <w:rsid w:val="002950A7"/>
    <w:rsid w:val="002A2147"/>
    <w:rsid w:val="002A3122"/>
    <w:rsid w:val="002A561F"/>
    <w:rsid w:val="002A668F"/>
    <w:rsid w:val="002C0A97"/>
    <w:rsid w:val="002C7CFB"/>
    <w:rsid w:val="002D6E9D"/>
    <w:rsid w:val="00300F35"/>
    <w:rsid w:val="00303C5B"/>
    <w:rsid w:val="00347ED1"/>
    <w:rsid w:val="00361BE7"/>
    <w:rsid w:val="00362E27"/>
    <w:rsid w:val="00370D88"/>
    <w:rsid w:val="00381DF9"/>
    <w:rsid w:val="00387517"/>
    <w:rsid w:val="003919B6"/>
    <w:rsid w:val="00392A34"/>
    <w:rsid w:val="003A374F"/>
    <w:rsid w:val="003B1543"/>
    <w:rsid w:val="003B49D6"/>
    <w:rsid w:val="003C3A9B"/>
    <w:rsid w:val="003E275A"/>
    <w:rsid w:val="003E4438"/>
    <w:rsid w:val="003E47D4"/>
    <w:rsid w:val="00407D2A"/>
    <w:rsid w:val="00424187"/>
    <w:rsid w:val="004322F8"/>
    <w:rsid w:val="00440E3C"/>
    <w:rsid w:val="00447378"/>
    <w:rsid w:val="0045293F"/>
    <w:rsid w:val="00454C72"/>
    <w:rsid w:val="0047721D"/>
    <w:rsid w:val="00477D5A"/>
    <w:rsid w:val="00480112"/>
    <w:rsid w:val="004809DF"/>
    <w:rsid w:val="00483DE2"/>
    <w:rsid w:val="00493025"/>
    <w:rsid w:val="004A1BA5"/>
    <w:rsid w:val="004A5258"/>
    <w:rsid w:val="004A6BC3"/>
    <w:rsid w:val="004C606B"/>
    <w:rsid w:val="004D41D1"/>
    <w:rsid w:val="004E0440"/>
    <w:rsid w:val="004E460D"/>
    <w:rsid w:val="004F08C7"/>
    <w:rsid w:val="00501B2E"/>
    <w:rsid w:val="0050652E"/>
    <w:rsid w:val="005079B6"/>
    <w:rsid w:val="00540B0F"/>
    <w:rsid w:val="00560454"/>
    <w:rsid w:val="00563040"/>
    <w:rsid w:val="005950DA"/>
    <w:rsid w:val="005A3388"/>
    <w:rsid w:val="005C39CD"/>
    <w:rsid w:val="005C5CC9"/>
    <w:rsid w:val="005D3174"/>
    <w:rsid w:val="005E5BA8"/>
    <w:rsid w:val="00600398"/>
    <w:rsid w:val="0060247C"/>
    <w:rsid w:val="00604320"/>
    <w:rsid w:val="006058EC"/>
    <w:rsid w:val="00650F0C"/>
    <w:rsid w:val="00652479"/>
    <w:rsid w:val="0065511D"/>
    <w:rsid w:val="006606EA"/>
    <w:rsid w:val="006610C6"/>
    <w:rsid w:val="00681FB4"/>
    <w:rsid w:val="00682639"/>
    <w:rsid w:val="006E7579"/>
    <w:rsid w:val="006F19C6"/>
    <w:rsid w:val="0070692E"/>
    <w:rsid w:val="00726A18"/>
    <w:rsid w:val="00742DEC"/>
    <w:rsid w:val="00760D64"/>
    <w:rsid w:val="00772293"/>
    <w:rsid w:val="00775512"/>
    <w:rsid w:val="007A1E06"/>
    <w:rsid w:val="007D4EAA"/>
    <w:rsid w:val="007E029B"/>
    <w:rsid w:val="007E2C90"/>
    <w:rsid w:val="007E4834"/>
    <w:rsid w:val="007E62D9"/>
    <w:rsid w:val="007E69D5"/>
    <w:rsid w:val="007F53BC"/>
    <w:rsid w:val="00821B41"/>
    <w:rsid w:val="008476CA"/>
    <w:rsid w:val="00850767"/>
    <w:rsid w:val="00874083"/>
    <w:rsid w:val="0088121A"/>
    <w:rsid w:val="00886784"/>
    <w:rsid w:val="008966E5"/>
    <w:rsid w:val="008A494C"/>
    <w:rsid w:val="008B4A57"/>
    <w:rsid w:val="008C05F3"/>
    <w:rsid w:val="008C3F57"/>
    <w:rsid w:val="008E05C2"/>
    <w:rsid w:val="008F2CBF"/>
    <w:rsid w:val="008F50DF"/>
    <w:rsid w:val="00940214"/>
    <w:rsid w:val="00943D19"/>
    <w:rsid w:val="00953180"/>
    <w:rsid w:val="00954450"/>
    <w:rsid w:val="00963640"/>
    <w:rsid w:val="0097512A"/>
    <w:rsid w:val="00976959"/>
    <w:rsid w:val="00977983"/>
    <w:rsid w:val="00982394"/>
    <w:rsid w:val="009824C0"/>
    <w:rsid w:val="00990FD4"/>
    <w:rsid w:val="009A7A1E"/>
    <w:rsid w:val="009B0E1E"/>
    <w:rsid w:val="009B20C1"/>
    <w:rsid w:val="009C3A78"/>
    <w:rsid w:val="009C6FED"/>
    <w:rsid w:val="009D2AE1"/>
    <w:rsid w:val="00A026B3"/>
    <w:rsid w:val="00A34929"/>
    <w:rsid w:val="00A44F87"/>
    <w:rsid w:val="00A70745"/>
    <w:rsid w:val="00A71F08"/>
    <w:rsid w:val="00A732C0"/>
    <w:rsid w:val="00A75D21"/>
    <w:rsid w:val="00A8708C"/>
    <w:rsid w:val="00AA2BE7"/>
    <w:rsid w:val="00AB48A2"/>
    <w:rsid w:val="00AB4B28"/>
    <w:rsid w:val="00AB5DEF"/>
    <w:rsid w:val="00AE1B96"/>
    <w:rsid w:val="00AF2C2A"/>
    <w:rsid w:val="00AF4AE2"/>
    <w:rsid w:val="00B04748"/>
    <w:rsid w:val="00B07633"/>
    <w:rsid w:val="00B1151A"/>
    <w:rsid w:val="00B346A5"/>
    <w:rsid w:val="00B51875"/>
    <w:rsid w:val="00B53F48"/>
    <w:rsid w:val="00B648B6"/>
    <w:rsid w:val="00B829AF"/>
    <w:rsid w:val="00BA5132"/>
    <w:rsid w:val="00BC7CC8"/>
    <w:rsid w:val="00BE5310"/>
    <w:rsid w:val="00BE5469"/>
    <w:rsid w:val="00C13676"/>
    <w:rsid w:val="00C3392E"/>
    <w:rsid w:val="00C43A19"/>
    <w:rsid w:val="00C71F57"/>
    <w:rsid w:val="00C86777"/>
    <w:rsid w:val="00C902A0"/>
    <w:rsid w:val="00C946AA"/>
    <w:rsid w:val="00CB26A3"/>
    <w:rsid w:val="00D04362"/>
    <w:rsid w:val="00D1615E"/>
    <w:rsid w:val="00D2504C"/>
    <w:rsid w:val="00D333E7"/>
    <w:rsid w:val="00D54724"/>
    <w:rsid w:val="00D639E8"/>
    <w:rsid w:val="00D95E67"/>
    <w:rsid w:val="00DA225C"/>
    <w:rsid w:val="00DA4C76"/>
    <w:rsid w:val="00DC45F4"/>
    <w:rsid w:val="00DD1961"/>
    <w:rsid w:val="00DD4806"/>
    <w:rsid w:val="00DE1709"/>
    <w:rsid w:val="00DF2F06"/>
    <w:rsid w:val="00E06022"/>
    <w:rsid w:val="00E14D2A"/>
    <w:rsid w:val="00E4259E"/>
    <w:rsid w:val="00E43DC1"/>
    <w:rsid w:val="00E454EB"/>
    <w:rsid w:val="00E63396"/>
    <w:rsid w:val="00E66A9F"/>
    <w:rsid w:val="00E85B1F"/>
    <w:rsid w:val="00E85DB0"/>
    <w:rsid w:val="00EA1AF2"/>
    <w:rsid w:val="00EA304A"/>
    <w:rsid w:val="00EA4053"/>
    <w:rsid w:val="00EC5741"/>
    <w:rsid w:val="00EE4F33"/>
    <w:rsid w:val="00EE56FA"/>
    <w:rsid w:val="00EF6054"/>
    <w:rsid w:val="00F00CEE"/>
    <w:rsid w:val="00F02355"/>
    <w:rsid w:val="00F05752"/>
    <w:rsid w:val="00F257BB"/>
    <w:rsid w:val="00F73B10"/>
    <w:rsid w:val="00F74BC1"/>
    <w:rsid w:val="00F757EC"/>
    <w:rsid w:val="00F76474"/>
    <w:rsid w:val="00F87A82"/>
    <w:rsid w:val="00F9329E"/>
    <w:rsid w:val="00FA1B5A"/>
    <w:rsid w:val="00FB53EA"/>
    <w:rsid w:val="00FC4085"/>
    <w:rsid w:val="00FD0C00"/>
    <w:rsid w:val="00FD7F32"/>
    <w:rsid w:val="00FE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25B4"/>
  <w15:chartTrackingRefBased/>
  <w15:docId w15:val="{855B24A7-60BD-4196-9815-705AF2B6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93F"/>
    <w:pPr>
      <w:ind w:left="720"/>
      <w:contextualSpacing/>
    </w:pPr>
  </w:style>
  <w:style w:type="paragraph" w:styleId="Header">
    <w:name w:val="header"/>
    <w:basedOn w:val="Normal"/>
    <w:link w:val="HeaderChar"/>
    <w:uiPriority w:val="99"/>
    <w:unhideWhenUsed/>
    <w:rsid w:val="000E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89D"/>
  </w:style>
  <w:style w:type="paragraph" w:styleId="Footer">
    <w:name w:val="footer"/>
    <w:basedOn w:val="Normal"/>
    <w:link w:val="FooterChar"/>
    <w:uiPriority w:val="99"/>
    <w:unhideWhenUsed/>
    <w:rsid w:val="000E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89D"/>
  </w:style>
  <w:style w:type="character" w:styleId="Hyperlink">
    <w:name w:val="Hyperlink"/>
    <w:basedOn w:val="DefaultParagraphFont"/>
    <w:uiPriority w:val="99"/>
    <w:semiHidden/>
    <w:unhideWhenUsed/>
    <w:rsid w:val="002517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4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talog.arizona.edu/definitions-key-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4</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Bracamonte</dc:creator>
  <cp:keywords/>
  <dc:description/>
  <cp:lastModifiedBy>Sorg, Abbie</cp:lastModifiedBy>
  <cp:revision>9</cp:revision>
  <dcterms:created xsi:type="dcterms:W3CDTF">2019-08-30T18:38:00Z</dcterms:created>
  <dcterms:modified xsi:type="dcterms:W3CDTF">2019-09-06T23:58:00Z</dcterms:modified>
</cp:coreProperties>
</file>