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288B9B" w14:textId="77777777" w:rsidR="000E797A" w:rsidRDefault="000E797A" w:rsidP="000E797A"/>
    <w:p w14:paraId="5CD63754" w14:textId="65E9DFF4" w:rsidR="000E797A" w:rsidRPr="000E797A" w:rsidRDefault="000E797A" w:rsidP="000E797A">
      <w:pPr>
        <w:rPr>
          <w:sz w:val="22"/>
          <w:szCs w:val="22"/>
        </w:rPr>
      </w:pPr>
      <w:r w:rsidRPr="000E797A">
        <w:rPr>
          <w:sz w:val="22"/>
          <w:szCs w:val="22"/>
        </w:rPr>
        <w:t>A teach-out plan is a formal document developed by educational institutions</w:t>
      </w:r>
      <w:r>
        <w:rPr>
          <w:sz w:val="22"/>
          <w:szCs w:val="22"/>
        </w:rPr>
        <w:t xml:space="preserve">, departments, and/or colleges </w:t>
      </w:r>
      <w:r w:rsidRPr="000E797A">
        <w:rPr>
          <w:sz w:val="22"/>
          <w:szCs w:val="22"/>
        </w:rPr>
        <w:t>to ensure a smooth and orderly closure of an academic program. It outlines the steps and procedures for phasing out a program while minimizing disruption for current students and faculty. Teach-out plans are typically required by accrediting agencies and regulatory bodies to ensure that students can complete their education and receive the support they need when a program or institution is being discontinued. Here's a general outline of what an academic program teach-out plan might include:</w:t>
      </w:r>
      <w:r>
        <w:rPr>
          <w:sz w:val="22"/>
          <w:szCs w:val="22"/>
        </w:rPr>
        <w:br/>
      </w:r>
    </w:p>
    <w:p w14:paraId="21157DA4" w14:textId="77777777" w:rsidR="000E797A" w:rsidRPr="000E797A" w:rsidRDefault="000E797A" w:rsidP="000E797A">
      <w:pPr>
        <w:numPr>
          <w:ilvl w:val="0"/>
          <w:numId w:val="1"/>
        </w:numPr>
        <w:rPr>
          <w:sz w:val="22"/>
          <w:szCs w:val="22"/>
        </w:rPr>
      </w:pPr>
      <w:r w:rsidRPr="000E797A">
        <w:rPr>
          <w:b/>
          <w:bCs/>
          <w:sz w:val="22"/>
          <w:szCs w:val="22"/>
        </w:rPr>
        <w:t>Introduction:</w:t>
      </w:r>
    </w:p>
    <w:p w14:paraId="5081B42D" w14:textId="77777777" w:rsidR="000E797A" w:rsidRPr="000E797A" w:rsidRDefault="000E797A" w:rsidP="000E797A">
      <w:pPr>
        <w:numPr>
          <w:ilvl w:val="1"/>
          <w:numId w:val="1"/>
        </w:numPr>
        <w:rPr>
          <w:sz w:val="22"/>
          <w:szCs w:val="22"/>
        </w:rPr>
      </w:pPr>
      <w:r w:rsidRPr="000E797A">
        <w:rPr>
          <w:sz w:val="22"/>
          <w:szCs w:val="22"/>
        </w:rPr>
        <w:t>Provide a brief overview of the academic program that is being phased out.</w:t>
      </w:r>
    </w:p>
    <w:p w14:paraId="1AE9F3A6" w14:textId="77777777" w:rsidR="000E797A" w:rsidRPr="000E797A" w:rsidRDefault="000E797A" w:rsidP="000E797A">
      <w:pPr>
        <w:numPr>
          <w:ilvl w:val="1"/>
          <w:numId w:val="1"/>
        </w:numPr>
        <w:rPr>
          <w:sz w:val="22"/>
          <w:szCs w:val="22"/>
        </w:rPr>
      </w:pPr>
      <w:r w:rsidRPr="000E797A">
        <w:rPr>
          <w:sz w:val="22"/>
          <w:szCs w:val="22"/>
        </w:rPr>
        <w:t>State the reason for discontinuing the program (e.g., low enrollment, resource constraints, program reorganization).</w:t>
      </w:r>
    </w:p>
    <w:p w14:paraId="1C34DDDB" w14:textId="77777777" w:rsidR="000E797A" w:rsidRPr="000E797A" w:rsidRDefault="000E797A" w:rsidP="000E797A">
      <w:pPr>
        <w:numPr>
          <w:ilvl w:val="0"/>
          <w:numId w:val="1"/>
        </w:numPr>
        <w:rPr>
          <w:sz w:val="22"/>
          <w:szCs w:val="22"/>
        </w:rPr>
      </w:pPr>
      <w:r w:rsidRPr="000E797A">
        <w:rPr>
          <w:b/>
          <w:bCs/>
          <w:sz w:val="22"/>
          <w:szCs w:val="22"/>
        </w:rPr>
        <w:t>Program Closure Timeline:</w:t>
      </w:r>
    </w:p>
    <w:p w14:paraId="332FD707" w14:textId="227FAB66" w:rsidR="000E797A" w:rsidRPr="000E797A" w:rsidRDefault="000E797A" w:rsidP="000E797A">
      <w:pPr>
        <w:numPr>
          <w:ilvl w:val="1"/>
          <w:numId w:val="1"/>
        </w:numPr>
        <w:rPr>
          <w:sz w:val="22"/>
          <w:szCs w:val="22"/>
        </w:rPr>
      </w:pPr>
      <w:r w:rsidRPr="000E797A">
        <w:rPr>
          <w:sz w:val="22"/>
          <w:szCs w:val="22"/>
        </w:rPr>
        <w:t xml:space="preserve">Specify the </w:t>
      </w:r>
      <w:r>
        <w:rPr>
          <w:sz w:val="22"/>
          <w:szCs w:val="22"/>
        </w:rPr>
        <w:t>last admit term for new students</w:t>
      </w:r>
      <w:r w:rsidRPr="000E797A">
        <w:rPr>
          <w:sz w:val="22"/>
          <w:szCs w:val="22"/>
        </w:rPr>
        <w:t>.</w:t>
      </w:r>
    </w:p>
    <w:p w14:paraId="4D58F16C" w14:textId="29FB8474" w:rsidR="000E797A" w:rsidRPr="000E797A" w:rsidRDefault="000E797A" w:rsidP="000E797A">
      <w:pPr>
        <w:numPr>
          <w:ilvl w:val="1"/>
          <w:numId w:val="1"/>
        </w:numPr>
        <w:rPr>
          <w:sz w:val="22"/>
          <w:szCs w:val="22"/>
        </w:rPr>
      </w:pPr>
      <w:r w:rsidRPr="25078546">
        <w:rPr>
          <w:sz w:val="22"/>
          <w:szCs w:val="22"/>
        </w:rPr>
        <w:t xml:space="preserve">The program/plan will remain “active” so that students in the program can finish. After 8 years, the program will be switched to an “inactive” status by </w:t>
      </w:r>
      <w:r w:rsidR="63C5B066" w:rsidRPr="25078546">
        <w:rPr>
          <w:sz w:val="22"/>
          <w:szCs w:val="22"/>
        </w:rPr>
        <w:t>Curricular Affairs (</w:t>
      </w:r>
      <w:r w:rsidRPr="25078546">
        <w:rPr>
          <w:sz w:val="22"/>
          <w:szCs w:val="22"/>
        </w:rPr>
        <w:t>CA</w:t>
      </w:r>
      <w:r w:rsidR="656180C7" w:rsidRPr="25078546">
        <w:rPr>
          <w:sz w:val="22"/>
          <w:szCs w:val="22"/>
        </w:rPr>
        <w:t>)</w:t>
      </w:r>
      <w:r w:rsidRPr="25078546">
        <w:rPr>
          <w:sz w:val="22"/>
          <w:szCs w:val="22"/>
        </w:rPr>
        <w:t>.</w:t>
      </w:r>
    </w:p>
    <w:p w14:paraId="683299D1" w14:textId="016BE76A" w:rsidR="000E797A" w:rsidRPr="000E797A" w:rsidRDefault="000E797A" w:rsidP="000E797A">
      <w:pPr>
        <w:numPr>
          <w:ilvl w:val="0"/>
          <w:numId w:val="1"/>
        </w:numPr>
        <w:rPr>
          <w:sz w:val="22"/>
          <w:szCs w:val="22"/>
        </w:rPr>
      </w:pPr>
      <w:r w:rsidRPr="000E797A">
        <w:rPr>
          <w:b/>
          <w:bCs/>
          <w:sz w:val="22"/>
          <w:szCs w:val="22"/>
        </w:rPr>
        <w:t>Student Support</w:t>
      </w:r>
      <w:r w:rsidR="00FE6983">
        <w:rPr>
          <w:b/>
          <w:bCs/>
          <w:sz w:val="22"/>
          <w:szCs w:val="22"/>
        </w:rPr>
        <w:t xml:space="preserve"> (currently enrolled and inactive)</w:t>
      </w:r>
      <w:r w:rsidRPr="000E797A">
        <w:rPr>
          <w:b/>
          <w:bCs/>
          <w:sz w:val="22"/>
          <w:szCs w:val="22"/>
        </w:rPr>
        <w:t>:</w:t>
      </w:r>
    </w:p>
    <w:p w14:paraId="7843E21B" w14:textId="77777777" w:rsidR="000E797A" w:rsidRPr="000E797A" w:rsidRDefault="000E797A" w:rsidP="000E797A">
      <w:pPr>
        <w:numPr>
          <w:ilvl w:val="1"/>
          <w:numId w:val="1"/>
        </w:numPr>
        <w:rPr>
          <w:sz w:val="22"/>
          <w:szCs w:val="22"/>
        </w:rPr>
      </w:pPr>
      <w:r w:rsidRPr="000E797A">
        <w:rPr>
          <w:sz w:val="22"/>
          <w:szCs w:val="22"/>
        </w:rPr>
        <w:t>Describe the support services that will be provided to current students to help them complete their education.</w:t>
      </w:r>
    </w:p>
    <w:p w14:paraId="5F461753" w14:textId="7BF2CFE3" w:rsidR="000E797A" w:rsidRDefault="000E797A" w:rsidP="000E797A">
      <w:pPr>
        <w:numPr>
          <w:ilvl w:val="1"/>
          <w:numId w:val="1"/>
        </w:numPr>
        <w:rPr>
          <w:sz w:val="22"/>
          <w:szCs w:val="22"/>
        </w:rPr>
      </w:pPr>
      <w:r w:rsidRPr="25078546">
        <w:rPr>
          <w:sz w:val="22"/>
          <w:szCs w:val="22"/>
        </w:rPr>
        <w:t>Explain how academic advising will be offered.</w:t>
      </w:r>
    </w:p>
    <w:p w14:paraId="36247E3D" w14:textId="2D1E3B91" w:rsidR="00D65ACF" w:rsidRDefault="00D65ACF" w:rsidP="00D65ACF">
      <w:pPr>
        <w:numPr>
          <w:ilvl w:val="1"/>
          <w:numId w:val="1"/>
        </w:numPr>
        <w:rPr>
          <w:sz w:val="22"/>
          <w:szCs w:val="22"/>
        </w:rPr>
      </w:pPr>
      <w:r w:rsidRPr="25078546">
        <w:rPr>
          <w:sz w:val="22"/>
          <w:szCs w:val="22"/>
        </w:rPr>
        <w:t xml:space="preserve">Identify specific plans for students </w:t>
      </w:r>
      <w:r w:rsidR="69C36830" w:rsidRPr="25078546">
        <w:rPr>
          <w:sz w:val="22"/>
          <w:szCs w:val="22"/>
        </w:rPr>
        <w:t>p</w:t>
      </w:r>
      <w:r w:rsidR="72D1FB17" w:rsidRPr="25078546">
        <w:rPr>
          <w:sz w:val="22"/>
          <w:szCs w:val="22"/>
        </w:rPr>
        <w:t>end</w:t>
      </w:r>
      <w:r w:rsidR="69C36830" w:rsidRPr="25078546">
        <w:rPr>
          <w:sz w:val="22"/>
          <w:szCs w:val="22"/>
        </w:rPr>
        <w:t>ing degree completion</w:t>
      </w:r>
      <w:r w:rsidRPr="25078546">
        <w:rPr>
          <w:sz w:val="22"/>
          <w:szCs w:val="22"/>
        </w:rPr>
        <w:t xml:space="preserve"> according to their academic needs. </w:t>
      </w:r>
    </w:p>
    <w:p w14:paraId="1EF9AC30" w14:textId="36AC0B51" w:rsidR="000E797A" w:rsidRPr="000E797A" w:rsidRDefault="000E797A" w:rsidP="000E797A">
      <w:pPr>
        <w:numPr>
          <w:ilvl w:val="1"/>
          <w:numId w:val="1"/>
        </w:numPr>
        <w:rPr>
          <w:sz w:val="22"/>
          <w:szCs w:val="22"/>
        </w:rPr>
      </w:pPr>
      <w:r w:rsidRPr="25078546">
        <w:rPr>
          <w:sz w:val="22"/>
          <w:szCs w:val="22"/>
        </w:rPr>
        <w:t>Address any financial aid or scholarship implications for students.</w:t>
      </w:r>
    </w:p>
    <w:p w14:paraId="6B4F6987" w14:textId="77777777" w:rsidR="000E797A" w:rsidRPr="000E797A" w:rsidRDefault="000E797A" w:rsidP="000E797A">
      <w:pPr>
        <w:numPr>
          <w:ilvl w:val="0"/>
          <w:numId w:val="1"/>
        </w:numPr>
        <w:rPr>
          <w:sz w:val="22"/>
          <w:szCs w:val="22"/>
        </w:rPr>
      </w:pPr>
      <w:r w:rsidRPr="000E797A">
        <w:rPr>
          <w:b/>
          <w:bCs/>
          <w:sz w:val="22"/>
          <w:szCs w:val="22"/>
        </w:rPr>
        <w:t>Curriculum Transition:</w:t>
      </w:r>
    </w:p>
    <w:p w14:paraId="609053CE" w14:textId="77777777" w:rsidR="000E797A" w:rsidRPr="000E797A" w:rsidRDefault="000E797A" w:rsidP="000E797A">
      <w:pPr>
        <w:numPr>
          <w:ilvl w:val="1"/>
          <w:numId w:val="1"/>
        </w:numPr>
        <w:rPr>
          <w:sz w:val="22"/>
          <w:szCs w:val="22"/>
        </w:rPr>
      </w:pPr>
      <w:r w:rsidRPr="000E797A">
        <w:rPr>
          <w:sz w:val="22"/>
          <w:szCs w:val="22"/>
        </w:rPr>
        <w:t>Detail how the remaining courses required for program completion will be scheduled and offered.</w:t>
      </w:r>
    </w:p>
    <w:p w14:paraId="1BEBF81B" w14:textId="77777777" w:rsidR="000E797A" w:rsidRPr="000E797A" w:rsidRDefault="000E797A" w:rsidP="000E797A">
      <w:pPr>
        <w:numPr>
          <w:ilvl w:val="1"/>
          <w:numId w:val="1"/>
        </w:numPr>
        <w:rPr>
          <w:sz w:val="22"/>
          <w:szCs w:val="22"/>
        </w:rPr>
      </w:pPr>
      <w:r w:rsidRPr="000E797A">
        <w:rPr>
          <w:sz w:val="22"/>
          <w:szCs w:val="22"/>
        </w:rPr>
        <w:t>Provide a list of alternative courses or programs that students can transfer to if necessary.</w:t>
      </w:r>
    </w:p>
    <w:p w14:paraId="4699D75C" w14:textId="77777777" w:rsidR="000E797A" w:rsidRPr="000E797A" w:rsidRDefault="000E797A" w:rsidP="000E797A">
      <w:pPr>
        <w:numPr>
          <w:ilvl w:val="1"/>
          <w:numId w:val="1"/>
        </w:numPr>
        <w:rPr>
          <w:sz w:val="22"/>
          <w:szCs w:val="22"/>
        </w:rPr>
      </w:pPr>
      <w:r w:rsidRPr="000E797A">
        <w:rPr>
          <w:sz w:val="22"/>
          <w:szCs w:val="22"/>
        </w:rPr>
        <w:t>Address any changes to course availability and faculty support.</w:t>
      </w:r>
    </w:p>
    <w:p w14:paraId="16E7BD11" w14:textId="77777777" w:rsidR="000E797A" w:rsidRPr="000E797A" w:rsidRDefault="000E797A" w:rsidP="000E797A">
      <w:pPr>
        <w:numPr>
          <w:ilvl w:val="0"/>
          <w:numId w:val="1"/>
        </w:numPr>
        <w:rPr>
          <w:sz w:val="22"/>
          <w:szCs w:val="22"/>
        </w:rPr>
      </w:pPr>
      <w:r w:rsidRPr="000E797A">
        <w:rPr>
          <w:b/>
          <w:bCs/>
          <w:sz w:val="22"/>
          <w:szCs w:val="22"/>
        </w:rPr>
        <w:t>Faculty and Staff Transition:</w:t>
      </w:r>
    </w:p>
    <w:p w14:paraId="534CE414" w14:textId="77777777" w:rsidR="000E797A" w:rsidRPr="000E797A" w:rsidRDefault="000E797A" w:rsidP="000E797A">
      <w:pPr>
        <w:numPr>
          <w:ilvl w:val="1"/>
          <w:numId w:val="1"/>
        </w:numPr>
        <w:rPr>
          <w:sz w:val="22"/>
          <w:szCs w:val="22"/>
        </w:rPr>
      </w:pPr>
      <w:r w:rsidRPr="000E797A">
        <w:rPr>
          <w:sz w:val="22"/>
          <w:szCs w:val="22"/>
        </w:rPr>
        <w:t>Explain the process for reassigning or supporting faculty and staff affected by the program closure.</w:t>
      </w:r>
    </w:p>
    <w:p w14:paraId="3E8E0A51" w14:textId="77777777" w:rsidR="000E797A" w:rsidRPr="000E797A" w:rsidRDefault="000E797A" w:rsidP="000E797A">
      <w:pPr>
        <w:numPr>
          <w:ilvl w:val="0"/>
          <w:numId w:val="1"/>
        </w:numPr>
        <w:rPr>
          <w:sz w:val="22"/>
          <w:szCs w:val="22"/>
        </w:rPr>
      </w:pPr>
      <w:r w:rsidRPr="000E797A">
        <w:rPr>
          <w:b/>
          <w:bCs/>
          <w:sz w:val="22"/>
          <w:szCs w:val="22"/>
        </w:rPr>
        <w:t>Communication Plan:</w:t>
      </w:r>
    </w:p>
    <w:p w14:paraId="6A2EA721" w14:textId="2C649609" w:rsidR="000E797A" w:rsidRDefault="73822A10" w:rsidP="000E797A">
      <w:pPr>
        <w:numPr>
          <w:ilvl w:val="1"/>
          <w:numId w:val="1"/>
        </w:numPr>
        <w:rPr>
          <w:sz w:val="22"/>
          <w:szCs w:val="22"/>
        </w:rPr>
      </w:pPr>
      <w:r w:rsidRPr="25078546">
        <w:rPr>
          <w:sz w:val="22"/>
          <w:szCs w:val="22"/>
        </w:rPr>
        <w:t>Provide d</w:t>
      </w:r>
      <w:r w:rsidR="000E797A" w:rsidRPr="25078546">
        <w:rPr>
          <w:sz w:val="22"/>
          <w:szCs w:val="22"/>
        </w:rPr>
        <w:t>etail</w:t>
      </w:r>
      <w:r w:rsidR="15D8D2EB" w:rsidRPr="25078546">
        <w:rPr>
          <w:sz w:val="22"/>
          <w:szCs w:val="22"/>
        </w:rPr>
        <w:t>s</w:t>
      </w:r>
      <w:r w:rsidR="000E797A" w:rsidRPr="25078546">
        <w:rPr>
          <w:sz w:val="22"/>
          <w:szCs w:val="22"/>
        </w:rPr>
        <w:t xml:space="preserve"> </w:t>
      </w:r>
      <w:r w:rsidR="0631BB1B" w:rsidRPr="25078546">
        <w:rPr>
          <w:sz w:val="22"/>
          <w:szCs w:val="22"/>
        </w:rPr>
        <w:t xml:space="preserve">about </w:t>
      </w:r>
      <w:r w:rsidR="000E797A" w:rsidRPr="25078546">
        <w:rPr>
          <w:sz w:val="22"/>
          <w:szCs w:val="22"/>
        </w:rPr>
        <w:t xml:space="preserve">how </w:t>
      </w:r>
      <w:r w:rsidR="2CDA08E6" w:rsidRPr="25078546">
        <w:rPr>
          <w:sz w:val="22"/>
          <w:szCs w:val="22"/>
        </w:rPr>
        <w:t xml:space="preserve">promptly </w:t>
      </w:r>
      <w:r w:rsidR="000E797A" w:rsidRPr="25078546">
        <w:rPr>
          <w:sz w:val="22"/>
          <w:szCs w:val="22"/>
        </w:rPr>
        <w:t>the program closure will be communicated to students, faculty, staff, and relevant stakeholders.</w:t>
      </w:r>
    </w:p>
    <w:p w14:paraId="209D6167" w14:textId="0FDD7D36" w:rsidR="00E455ED" w:rsidRPr="00E455ED" w:rsidRDefault="008C1216" w:rsidP="00E455ED">
      <w:pPr>
        <w:numPr>
          <w:ilvl w:val="1"/>
          <w:numId w:val="1"/>
        </w:numPr>
        <w:rPr>
          <w:sz w:val="22"/>
          <w:szCs w:val="22"/>
        </w:rPr>
      </w:pPr>
      <w:r w:rsidRPr="25078546">
        <w:rPr>
          <w:sz w:val="22"/>
          <w:szCs w:val="22"/>
        </w:rPr>
        <w:t>Include sample notifications to students in differing situations</w:t>
      </w:r>
      <w:r w:rsidR="3E7009E8" w:rsidRPr="25078546">
        <w:rPr>
          <w:sz w:val="22"/>
          <w:szCs w:val="22"/>
        </w:rPr>
        <w:t>.</w:t>
      </w:r>
    </w:p>
    <w:p w14:paraId="15870BEC" w14:textId="26AD5DD6" w:rsidR="00E455ED" w:rsidRPr="00E455ED" w:rsidRDefault="00E455ED" w:rsidP="00E455ED">
      <w:pPr>
        <w:numPr>
          <w:ilvl w:val="1"/>
          <w:numId w:val="1"/>
        </w:numPr>
        <w:rPr>
          <w:sz w:val="22"/>
          <w:szCs w:val="22"/>
        </w:rPr>
      </w:pPr>
      <w:r w:rsidRPr="25078546">
        <w:rPr>
          <w:sz w:val="22"/>
          <w:szCs w:val="22"/>
        </w:rPr>
        <w:t xml:space="preserve">Describe the institution’s plan for communicating with the public including the methods and language used for (e.g., including town hall meetings, notification on the institution’s web site, </w:t>
      </w:r>
      <w:r w:rsidR="09004CDA" w:rsidRPr="25078546">
        <w:rPr>
          <w:sz w:val="22"/>
          <w:szCs w:val="22"/>
        </w:rPr>
        <w:t xml:space="preserve">press releases, </w:t>
      </w:r>
      <w:r w:rsidRPr="25078546">
        <w:rPr>
          <w:sz w:val="22"/>
          <w:szCs w:val="22"/>
        </w:rPr>
        <w:t>and other means of communication).</w:t>
      </w:r>
    </w:p>
    <w:p w14:paraId="1ACE97CC" w14:textId="77777777" w:rsidR="000E797A" w:rsidRPr="000E797A" w:rsidRDefault="000E797A" w:rsidP="000E797A">
      <w:pPr>
        <w:numPr>
          <w:ilvl w:val="1"/>
          <w:numId w:val="1"/>
        </w:numPr>
        <w:rPr>
          <w:sz w:val="22"/>
          <w:szCs w:val="22"/>
        </w:rPr>
      </w:pPr>
      <w:r w:rsidRPr="000E797A">
        <w:rPr>
          <w:sz w:val="22"/>
          <w:szCs w:val="22"/>
        </w:rPr>
        <w:t>Specify the channels (e.g., emails, website announcements) and the frequency of updates.</w:t>
      </w:r>
    </w:p>
    <w:p w14:paraId="34F106F6" w14:textId="77777777" w:rsidR="000E797A" w:rsidRPr="000E797A" w:rsidRDefault="000E797A" w:rsidP="000E797A">
      <w:pPr>
        <w:numPr>
          <w:ilvl w:val="0"/>
          <w:numId w:val="1"/>
        </w:numPr>
        <w:rPr>
          <w:sz w:val="22"/>
          <w:szCs w:val="22"/>
        </w:rPr>
      </w:pPr>
      <w:r w:rsidRPr="000E797A">
        <w:rPr>
          <w:b/>
          <w:bCs/>
          <w:sz w:val="22"/>
          <w:szCs w:val="22"/>
        </w:rPr>
        <w:t>Compliance and Reporting:</w:t>
      </w:r>
    </w:p>
    <w:p w14:paraId="1DA4DF24" w14:textId="77777777" w:rsidR="000E797A" w:rsidRDefault="000E797A" w:rsidP="000E797A">
      <w:pPr>
        <w:numPr>
          <w:ilvl w:val="1"/>
          <w:numId w:val="1"/>
        </w:numPr>
        <w:rPr>
          <w:sz w:val="22"/>
          <w:szCs w:val="22"/>
        </w:rPr>
      </w:pPr>
      <w:r w:rsidRPr="000E797A">
        <w:rPr>
          <w:sz w:val="22"/>
          <w:szCs w:val="22"/>
        </w:rPr>
        <w:t>Address any regulatory requirements or reporting obligations to accreditation agencies and government bodies.</w:t>
      </w:r>
    </w:p>
    <w:p w14:paraId="1617482A" w14:textId="77777777" w:rsidR="00151F95" w:rsidRPr="00151F95" w:rsidRDefault="00151F95" w:rsidP="00151F95">
      <w:pPr>
        <w:numPr>
          <w:ilvl w:val="0"/>
          <w:numId w:val="1"/>
        </w:numPr>
        <w:rPr>
          <w:b/>
          <w:bCs/>
          <w:sz w:val="22"/>
          <w:szCs w:val="22"/>
        </w:rPr>
      </w:pPr>
      <w:r w:rsidRPr="00151F95">
        <w:rPr>
          <w:b/>
          <w:bCs/>
          <w:sz w:val="22"/>
          <w:szCs w:val="22"/>
        </w:rPr>
        <w:t>Timeline of Teach-Out Events</w:t>
      </w:r>
    </w:p>
    <w:p w14:paraId="01F50266" w14:textId="747D5EE3" w:rsidR="00107804" w:rsidRPr="000E797A" w:rsidRDefault="00151F95" w:rsidP="00151F95">
      <w:pPr>
        <w:ind w:left="720"/>
        <w:rPr>
          <w:sz w:val="22"/>
          <w:szCs w:val="22"/>
        </w:rPr>
      </w:pPr>
      <w:r w:rsidRPr="25078546">
        <w:rPr>
          <w:sz w:val="22"/>
          <w:szCs w:val="22"/>
        </w:rPr>
        <w:t xml:space="preserve">This section provides a detailed timeline of events associated with the teach-out showing when communications will go out to students, faculty, </w:t>
      </w:r>
      <w:proofErr w:type="gramStart"/>
      <w:r w:rsidRPr="25078546">
        <w:rPr>
          <w:sz w:val="22"/>
          <w:szCs w:val="22"/>
        </w:rPr>
        <w:t>staff</w:t>
      </w:r>
      <w:proofErr w:type="gramEnd"/>
      <w:r w:rsidRPr="25078546">
        <w:rPr>
          <w:sz w:val="22"/>
          <w:szCs w:val="22"/>
        </w:rPr>
        <w:t xml:space="preserve"> and the public</w:t>
      </w:r>
      <w:r w:rsidR="5F482EA2" w:rsidRPr="25078546">
        <w:rPr>
          <w:sz w:val="22"/>
          <w:szCs w:val="22"/>
        </w:rPr>
        <w:t>;</w:t>
      </w:r>
      <w:r w:rsidRPr="25078546">
        <w:rPr>
          <w:sz w:val="22"/>
          <w:szCs w:val="22"/>
        </w:rPr>
        <w:t xml:space="preserve"> dates when students must </w:t>
      </w:r>
      <w:r w:rsidRPr="25078546">
        <w:rPr>
          <w:sz w:val="22"/>
          <w:szCs w:val="22"/>
        </w:rPr>
        <w:lastRenderedPageBreak/>
        <w:t>complete individualized graduation plans</w:t>
      </w:r>
      <w:r w:rsidR="74936DB1" w:rsidRPr="25078546">
        <w:rPr>
          <w:sz w:val="22"/>
          <w:szCs w:val="22"/>
        </w:rPr>
        <w:t>;</w:t>
      </w:r>
      <w:r w:rsidR="7FF5BC09" w:rsidRPr="25078546">
        <w:rPr>
          <w:sz w:val="22"/>
          <w:szCs w:val="22"/>
        </w:rPr>
        <w:t xml:space="preserve"> and academic terms when the plan will be removed from the academic catalog and associated university systems.</w:t>
      </w:r>
    </w:p>
    <w:p w14:paraId="1900BD37" w14:textId="77777777" w:rsidR="000E797A" w:rsidRPr="000E797A" w:rsidRDefault="000E797A" w:rsidP="000E797A">
      <w:pPr>
        <w:numPr>
          <w:ilvl w:val="0"/>
          <w:numId w:val="1"/>
        </w:numPr>
        <w:rPr>
          <w:sz w:val="22"/>
          <w:szCs w:val="22"/>
        </w:rPr>
      </w:pPr>
      <w:r w:rsidRPr="000E797A">
        <w:rPr>
          <w:b/>
          <w:bCs/>
          <w:sz w:val="22"/>
          <w:szCs w:val="22"/>
        </w:rPr>
        <w:t>Appendices:</w:t>
      </w:r>
    </w:p>
    <w:p w14:paraId="4C679D14" w14:textId="513D804C" w:rsidR="000E797A" w:rsidRPr="000E797A" w:rsidRDefault="000E797A" w:rsidP="000E797A">
      <w:pPr>
        <w:numPr>
          <w:ilvl w:val="1"/>
          <w:numId w:val="1"/>
        </w:numPr>
        <w:rPr>
          <w:sz w:val="22"/>
          <w:szCs w:val="22"/>
        </w:rPr>
      </w:pPr>
      <w:r w:rsidRPr="000E797A">
        <w:rPr>
          <w:sz w:val="22"/>
          <w:szCs w:val="22"/>
        </w:rPr>
        <w:t>Include any supporting documents, agreements, or additional information related to the teach-out plan.</w:t>
      </w:r>
      <w:r w:rsidR="00151F95">
        <w:rPr>
          <w:sz w:val="22"/>
          <w:szCs w:val="22"/>
        </w:rPr>
        <w:br/>
      </w:r>
      <w:r w:rsidR="00151F95">
        <w:rPr>
          <w:sz w:val="22"/>
          <w:szCs w:val="22"/>
        </w:rPr>
        <w:br/>
      </w:r>
    </w:p>
    <w:p w14:paraId="1E4A9EAC" w14:textId="348B5E7C" w:rsidR="000E797A" w:rsidRPr="000E797A" w:rsidRDefault="000E797A" w:rsidP="000E797A">
      <w:pPr>
        <w:rPr>
          <w:sz w:val="22"/>
          <w:szCs w:val="22"/>
        </w:rPr>
      </w:pPr>
      <w:r w:rsidRPr="25078546">
        <w:rPr>
          <w:sz w:val="22"/>
          <w:szCs w:val="22"/>
        </w:rPr>
        <w:t>The exact content and format of a teach-out plan may vary depending on institutional</w:t>
      </w:r>
      <w:r w:rsidR="006E7BEA">
        <w:rPr>
          <w:sz w:val="22"/>
          <w:szCs w:val="22"/>
        </w:rPr>
        <w:t xml:space="preserve"> </w:t>
      </w:r>
      <w:r w:rsidRPr="25078546">
        <w:rPr>
          <w:sz w:val="22"/>
          <w:szCs w:val="22"/>
        </w:rPr>
        <w:t xml:space="preserve">policies and </w:t>
      </w:r>
      <w:r w:rsidR="00F209FF">
        <w:rPr>
          <w:sz w:val="22"/>
          <w:szCs w:val="22"/>
        </w:rPr>
        <w:t xml:space="preserve">college </w:t>
      </w:r>
      <w:r w:rsidRPr="25078546">
        <w:rPr>
          <w:sz w:val="22"/>
          <w:szCs w:val="22"/>
        </w:rPr>
        <w:t>specific circumstances. It's essential to involve relevant stakeholders in the development of the plan, including faculty, staff, students, and legal and administrative personnel, to ensure a successful program closure while minimizing negative impacts on those involved</w:t>
      </w:r>
      <w:r w:rsidR="00F34AED" w:rsidRPr="25078546">
        <w:rPr>
          <w:sz w:val="22"/>
          <w:szCs w:val="22"/>
        </w:rPr>
        <w:t xml:space="preserve">. </w:t>
      </w:r>
    </w:p>
    <w:sectPr w:rsidR="000E797A" w:rsidRPr="000E797A">
      <w:headerReference w:type="default" r:id="rId10"/>
      <w:footerReference w:type="even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A043C7" w14:textId="77777777" w:rsidR="00626B44" w:rsidRDefault="00626B44" w:rsidP="000E797A">
      <w:r>
        <w:separator/>
      </w:r>
    </w:p>
  </w:endnote>
  <w:endnote w:type="continuationSeparator" w:id="0">
    <w:p w14:paraId="5EAEB757" w14:textId="77777777" w:rsidR="00626B44" w:rsidRDefault="00626B44" w:rsidP="000E79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920484" w14:textId="6F9FC250" w:rsidR="0033045D" w:rsidRDefault="0033045D" w:rsidP="008A4681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4412443A" w14:textId="77777777" w:rsidR="0033045D" w:rsidRDefault="0033045D" w:rsidP="0033045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010027422"/>
      <w:docPartObj>
        <w:docPartGallery w:val="Page Numbers (Bottom of Page)"/>
        <w:docPartUnique/>
      </w:docPartObj>
    </w:sdtPr>
    <w:sdtEndPr>
      <w:rPr>
        <w:rStyle w:val="PageNumber"/>
        <w:sz w:val="22"/>
        <w:szCs w:val="22"/>
      </w:rPr>
    </w:sdtEndPr>
    <w:sdtContent>
      <w:p w14:paraId="0C3519B6" w14:textId="0EFA63E1" w:rsidR="0033045D" w:rsidRDefault="0033045D" w:rsidP="008A4681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3C23B581" w14:textId="77777777" w:rsidR="000E797A" w:rsidRDefault="000E797A" w:rsidP="0033045D">
    <w:pPr>
      <w:pStyle w:val="Footer"/>
      <w:ind w:right="36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5A3710" w14:textId="77777777" w:rsidR="00626B44" w:rsidRDefault="00626B44" w:rsidP="000E797A">
      <w:r>
        <w:separator/>
      </w:r>
    </w:p>
  </w:footnote>
  <w:footnote w:type="continuationSeparator" w:id="0">
    <w:p w14:paraId="344EF7CA" w14:textId="77777777" w:rsidR="00626B44" w:rsidRDefault="00626B44" w:rsidP="000E79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2F8131" w14:textId="6D42A7D1" w:rsidR="000E797A" w:rsidRPr="000E797A" w:rsidRDefault="000E797A" w:rsidP="000E797A">
    <w:pPr>
      <w:pStyle w:val="Header"/>
      <w:jc w:val="center"/>
      <w:rPr>
        <w:sz w:val="28"/>
        <w:szCs w:val="28"/>
      </w:rPr>
    </w:pPr>
    <w:r w:rsidRPr="000E797A">
      <w:rPr>
        <w:noProof/>
        <w:sz w:val="28"/>
        <w:szCs w:val="28"/>
      </w:rPr>
      <w:drawing>
        <wp:anchor distT="0" distB="0" distL="114300" distR="114300" simplePos="0" relativeHeight="251658240" behindDoc="0" locked="0" layoutInCell="1" allowOverlap="1" wp14:anchorId="312CF8B5" wp14:editId="75B6CA6B">
          <wp:simplePos x="0" y="0"/>
          <wp:positionH relativeFrom="column">
            <wp:posOffset>-564204</wp:posOffset>
          </wp:positionH>
          <wp:positionV relativeFrom="paragraph">
            <wp:posOffset>-107005</wp:posOffset>
          </wp:positionV>
          <wp:extent cx="2218453" cy="457200"/>
          <wp:effectExtent l="0" t="0" r="4445" b="0"/>
          <wp:wrapSquare wrapText="bothSides"/>
          <wp:docPr id="298902492" name="Picture 1" descr="Blue text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8902492" name="Picture 1" descr="Blue text on a black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18453" cy="45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E797A">
      <w:rPr>
        <w:sz w:val="28"/>
        <w:szCs w:val="28"/>
      </w:rPr>
      <w:t>Guidance for Teach Out Plan</w:t>
    </w:r>
  </w:p>
  <w:p w14:paraId="09ACDB80" w14:textId="77777777" w:rsidR="000E797A" w:rsidRDefault="000E797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BF7DD4"/>
    <w:multiLevelType w:val="multilevel"/>
    <w:tmpl w:val="F63273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304238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97A"/>
    <w:rsid w:val="00005366"/>
    <w:rsid w:val="00072D0D"/>
    <w:rsid w:val="0008545F"/>
    <w:rsid w:val="000E797A"/>
    <w:rsid w:val="00107804"/>
    <w:rsid w:val="00151F95"/>
    <w:rsid w:val="001F692C"/>
    <w:rsid w:val="0033045D"/>
    <w:rsid w:val="004148CA"/>
    <w:rsid w:val="004F763F"/>
    <w:rsid w:val="005964FE"/>
    <w:rsid w:val="005D3405"/>
    <w:rsid w:val="00626B44"/>
    <w:rsid w:val="00680F02"/>
    <w:rsid w:val="006E7BEA"/>
    <w:rsid w:val="007B321D"/>
    <w:rsid w:val="008C1216"/>
    <w:rsid w:val="009E4ADE"/>
    <w:rsid w:val="00A034CA"/>
    <w:rsid w:val="00D65ACF"/>
    <w:rsid w:val="00DA46B7"/>
    <w:rsid w:val="00DC32D3"/>
    <w:rsid w:val="00E455ED"/>
    <w:rsid w:val="00F209FF"/>
    <w:rsid w:val="00F34AED"/>
    <w:rsid w:val="00FA407E"/>
    <w:rsid w:val="00FE234E"/>
    <w:rsid w:val="00FE6983"/>
    <w:rsid w:val="00FF5705"/>
    <w:rsid w:val="03E94127"/>
    <w:rsid w:val="0631BB1B"/>
    <w:rsid w:val="09004CDA"/>
    <w:rsid w:val="0D76FB10"/>
    <w:rsid w:val="0EC5B526"/>
    <w:rsid w:val="1103082B"/>
    <w:rsid w:val="15D8D2EB"/>
    <w:rsid w:val="1A90C214"/>
    <w:rsid w:val="1ED58859"/>
    <w:rsid w:val="221B6738"/>
    <w:rsid w:val="25078546"/>
    <w:rsid w:val="2CDA08E6"/>
    <w:rsid w:val="3B5BC9C5"/>
    <w:rsid w:val="3E4ED83F"/>
    <w:rsid w:val="3E7009E8"/>
    <w:rsid w:val="5797BECF"/>
    <w:rsid w:val="5F482EA2"/>
    <w:rsid w:val="63849E17"/>
    <w:rsid w:val="63C5B066"/>
    <w:rsid w:val="6525A553"/>
    <w:rsid w:val="656180C7"/>
    <w:rsid w:val="66C175B4"/>
    <w:rsid w:val="68D06D64"/>
    <w:rsid w:val="69C36830"/>
    <w:rsid w:val="72D1FB17"/>
    <w:rsid w:val="73822A10"/>
    <w:rsid w:val="74936DB1"/>
    <w:rsid w:val="7E27FAF1"/>
    <w:rsid w:val="7FF5BC09"/>
    <w:rsid w:val="7FF92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571F56"/>
  <w15:chartTrackingRefBased/>
  <w15:docId w15:val="{F07B662B-9A9C-9942-BAF5-B247BD734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E79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E797A"/>
  </w:style>
  <w:style w:type="paragraph" w:styleId="Footer">
    <w:name w:val="footer"/>
    <w:basedOn w:val="Normal"/>
    <w:link w:val="FooterChar"/>
    <w:uiPriority w:val="99"/>
    <w:unhideWhenUsed/>
    <w:rsid w:val="000E797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E797A"/>
  </w:style>
  <w:style w:type="character" w:styleId="PageNumber">
    <w:name w:val="page number"/>
    <w:basedOn w:val="DefaultParagraphFont"/>
    <w:uiPriority w:val="99"/>
    <w:semiHidden/>
    <w:unhideWhenUsed/>
    <w:rsid w:val="003304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92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14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122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849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312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639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49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479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478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924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3a97b15-5d0f-4a02-b814-a5a84fc3dd13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CAEF86F9198A498A8C72433580B23B" ma:contentTypeVersion="12" ma:contentTypeDescription="Create a new document." ma:contentTypeScope="" ma:versionID="e69ccfd4f5660f632b9077785344f9bb">
  <xsd:schema xmlns:xsd="http://www.w3.org/2001/XMLSchema" xmlns:xs="http://www.w3.org/2001/XMLSchema" xmlns:p="http://schemas.microsoft.com/office/2006/metadata/properties" xmlns:ns2="43a97b15-5d0f-4a02-b814-a5a84fc3dd13" xmlns:ns3="a9ddcca5-81ba-4be0-9a4a-cb22122d7787" targetNamespace="http://schemas.microsoft.com/office/2006/metadata/properties" ma:root="true" ma:fieldsID="5e73155f3c62e9a71d49aa0bb29fdab6" ns2:_="" ns3:_="">
    <xsd:import namespace="43a97b15-5d0f-4a02-b814-a5a84fc3dd13"/>
    <xsd:import namespace="a9ddcca5-81ba-4be0-9a4a-cb22122d778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LengthInSecond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a97b15-5d0f-4a02-b814-a5a84fc3dd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a1dced58-e0b4-42b2-b81d-05092f917f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ddcca5-81ba-4be0-9a4a-cb22122d778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FC19FD0-55F2-41C9-899C-69DA35F83862}">
  <ds:schemaRefs>
    <ds:schemaRef ds:uri="http://schemas.microsoft.com/office/2006/metadata/properties"/>
    <ds:schemaRef ds:uri="http://schemas.microsoft.com/office/infopath/2007/PartnerControls"/>
    <ds:schemaRef ds:uri="http://schemas.microsoft.com/office/2006/documentManagement/types"/>
    <ds:schemaRef ds:uri="43a97b15-5d0f-4a02-b814-a5a84fc3dd13"/>
    <ds:schemaRef ds:uri="http://purl.org/dc/dcmitype/"/>
    <ds:schemaRef ds:uri="http://purl.org/dc/elements/1.1/"/>
    <ds:schemaRef ds:uri="http://schemas.openxmlformats.org/package/2006/metadata/core-properties"/>
    <ds:schemaRef ds:uri="a9ddcca5-81ba-4be0-9a4a-cb22122d7787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418F773D-2E5F-461D-BABE-DE79F92C46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3a97b15-5d0f-4a02-b814-a5a84fc3dd13"/>
    <ds:schemaRef ds:uri="a9ddcca5-81ba-4be0-9a4a-cb22122d77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7F11D5D-A8C6-4B5A-AF0E-E11FDEF57E7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507</Words>
  <Characters>2890</Characters>
  <Application>Microsoft Office Word</Application>
  <DocSecurity>0</DocSecurity>
  <Lines>24</Lines>
  <Paragraphs>6</Paragraphs>
  <ScaleCrop>false</ScaleCrop>
  <Company/>
  <LinksUpToDate>false</LinksUpToDate>
  <CharactersWithSpaces>3391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Sandoval, Liz - (esandmar)</dc:creator>
  <cp:keywords/>
  <dc:description/>
  <cp:lastModifiedBy>Andrade, Bryanna Marie - (bryannaa)</cp:lastModifiedBy>
  <cp:revision>2</cp:revision>
  <dcterms:created xsi:type="dcterms:W3CDTF">2023-12-05T21:20:00Z</dcterms:created>
  <dcterms:modified xsi:type="dcterms:W3CDTF">2023-12-05T21:20:00Z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0x0101003ECAEF86F9198A498A8C72433580B23B</vt:lpwstr>
  </property>
</Properties>
</file>